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7A97B" w14:textId="49ECB835" w:rsidR="00CA1126" w:rsidRPr="00B66DA9" w:rsidRDefault="008B687E" w:rsidP="008B687E">
      <w:pPr>
        <w:pStyle w:val="NormalWeb"/>
        <w:shd w:val="clear" w:color="auto" w:fill="FFFFFF"/>
        <w:spacing w:before="0" w:beforeAutospacing="0" w:after="0" w:afterAutospacing="0"/>
        <w:jc w:val="center"/>
        <w:rPr>
          <w:b/>
        </w:rPr>
      </w:pPr>
      <w:r w:rsidRPr="00B66DA9">
        <w:rPr>
          <w:b/>
        </w:rPr>
        <w:t>PROPOSICIÓN</w:t>
      </w:r>
    </w:p>
    <w:p w14:paraId="54113F5C" w14:textId="77777777" w:rsidR="008B687E" w:rsidRPr="00B66DA9" w:rsidRDefault="008B687E" w:rsidP="00173106">
      <w:pPr>
        <w:pStyle w:val="NormalWeb"/>
        <w:shd w:val="clear" w:color="auto" w:fill="FFFFFF"/>
        <w:spacing w:before="0" w:beforeAutospacing="0" w:after="0" w:afterAutospacing="0"/>
        <w:jc w:val="both"/>
        <w:rPr>
          <w:bCs/>
        </w:rPr>
      </w:pPr>
    </w:p>
    <w:p w14:paraId="1BE32834" w14:textId="30906324" w:rsidR="008B687E" w:rsidRPr="00B66DA9" w:rsidRDefault="008B687E" w:rsidP="008B687E">
      <w:pPr>
        <w:spacing w:after="0" w:line="240" w:lineRule="auto"/>
        <w:jc w:val="both"/>
        <w:rPr>
          <w:rFonts w:ascii="Times New Roman" w:hAnsi="Times New Roman" w:cs="Times New Roman"/>
          <w:b/>
          <w:bCs/>
          <w:sz w:val="24"/>
          <w:szCs w:val="24"/>
          <w:shd w:val="clear" w:color="auto" w:fill="FFFFFF"/>
        </w:rPr>
      </w:pPr>
      <w:r w:rsidRPr="00B66DA9">
        <w:rPr>
          <w:rFonts w:ascii="Times New Roman" w:hAnsi="Times New Roman" w:cs="Times New Roman"/>
          <w:bCs/>
          <w:sz w:val="24"/>
          <w:szCs w:val="24"/>
        </w:rPr>
        <w:t xml:space="preserve">Modifíquese el </w:t>
      </w:r>
      <w:r w:rsidRPr="00B66DA9">
        <w:rPr>
          <w:rFonts w:ascii="Times New Roman" w:hAnsi="Times New Roman" w:cs="Times New Roman"/>
          <w:b/>
          <w:sz w:val="24"/>
          <w:szCs w:val="24"/>
          <w:shd w:val="clear" w:color="auto" w:fill="FFFFFF"/>
        </w:rPr>
        <w:t xml:space="preserve">Artículo 1º del </w:t>
      </w:r>
      <w:r w:rsidRPr="00B66DA9">
        <w:rPr>
          <w:rFonts w:ascii="Times New Roman" w:hAnsi="Times New Roman" w:cs="Times New Roman"/>
          <w:b/>
          <w:sz w:val="24"/>
          <w:szCs w:val="24"/>
        </w:rPr>
        <w:t>del PL 283 de 2019 Cámara</w:t>
      </w:r>
      <w:r w:rsidRPr="00B66DA9">
        <w:rPr>
          <w:rFonts w:ascii="Times New Roman" w:hAnsi="Times New Roman" w:cs="Times New Roman"/>
          <w:bCs/>
          <w:sz w:val="24"/>
          <w:szCs w:val="24"/>
        </w:rPr>
        <w:t xml:space="preserve"> “Por medio del cual se sustituye el Título XI, “De los delitos contra los recursos naturales y el medio ambiente” de la ley 599 del 2000”, </w:t>
      </w:r>
      <w:r w:rsidRPr="00B66DA9">
        <w:rPr>
          <w:rFonts w:ascii="Times New Roman" w:hAnsi="Times New Roman" w:cs="Times New Roman"/>
          <w:b/>
          <w:sz w:val="24"/>
          <w:szCs w:val="24"/>
          <w:shd w:val="clear" w:color="auto" w:fill="FFFFFF"/>
        </w:rPr>
        <w:t>eliminando los artículos 329, 329A, 329B y 329C</w:t>
      </w:r>
      <w:r w:rsidRPr="00B66DA9">
        <w:rPr>
          <w:rFonts w:ascii="Times New Roman" w:hAnsi="Times New Roman" w:cs="Times New Roman"/>
          <w:bCs/>
          <w:sz w:val="24"/>
          <w:szCs w:val="24"/>
          <w:shd w:val="clear" w:color="auto" w:fill="FFFFFF"/>
        </w:rPr>
        <w:t>, así:</w:t>
      </w:r>
    </w:p>
    <w:p w14:paraId="6E06571C" w14:textId="08020EE0" w:rsidR="008B687E" w:rsidRPr="00B66DA9" w:rsidRDefault="008B687E" w:rsidP="00173106">
      <w:pPr>
        <w:pStyle w:val="NormalWeb"/>
        <w:shd w:val="clear" w:color="auto" w:fill="FFFFFF"/>
        <w:spacing w:before="0" w:beforeAutospacing="0" w:after="0" w:afterAutospacing="0"/>
        <w:jc w:val="both"/>
        <w:rPr>
          <w:bCs/>
        </w:rPr>
      </w:pPr>
    </w:p>
    <w:p w14:paraId="60CAFE69" w14:textId="77777777" w:rsidR="008B687E" w:rsidRPr="00B66DA9" w:rsidRDefault="008B687E" w:rsidP="008B687E">
      <w:pPr>
        <w:shd w:val="clear" w:color="auto" w:fill="FFFFFF"/>
        <w:spacing w:after="0" w:line="240" w:lineRule="auto"/>
        <w:jc w:val="both"/>
        <w:rPr>
          <w:rFonts w:ascii="Times New Roman" w:hAnsi="Times New Roman" w:cs="Times New Roman"/>
          <w:bCs/>
          <w:strike/>
          <w:color w:val="000000"/>
          <w:sz w:val="24"/>
          <w:szCs w:val="24"/>
        </w:rPr>
      </w:pPr>
      <w:r w:rsidRPr="00B66DA9">
        <w:rPr>
          <w:rFonts w:ascii="Times New Roman" w:hAnsi="Times New Roman" w:cs="Times New Roman"/>
          <w:b/>
          <w:bCs/>
          <w:strike/>
          <w:color w:val="000000"/>
          <w:sz w:val="24"/>
          <w:szCs w:val="24"/>
        </w:rPr>
        <w:t>ARTÍCULO 329. Aprovechamiento ilícito de los recursos de la tierra, del suelo y del subsuelo.</w:t>
      </w:r>
      <w:r w:rsidRPr="00B66DA9">
        <w:rPr>
          <w:rFonts w:ascii="Times New Roman" w:hAnsi="Times New Roman" w:cs="Times New Roman"/>
          <w:bCs/>
          <w:strike/>
          <w:color w:val="000000"/>
          <w:sz w:val="24"/>
          <w:szCs w:val="24"/>
        </w:rPr>
        <w:t xml:space="preserve"> </w:t>
      </w:r>
      <w:r w:rsidRPr="00B66DA9">
        <w:rPr>
          <w:rFonts w:ascii="Times New Roman" w:hAnsi="Times New Roman" w:cs="Times New Roman"/>
          <w:strike/>
          <w:sz w:val="24"/>
          <w:szCs w:val="24"/>
          <w:shd w:val="clear" w:color="auto" w:fill="FFFFFF"/>
        </w:rPr>
        <w:t xml:space="preserve">El que sin permiso de autoridad competente o con incumplimiento de las normas vigentes se apropie, introduzca, explote, transporte, trafique, comercie, explore, aproveche o se beneficie de los recursos naturales de la tierra, del suelo o del subsuelo o provoque o realice directa o indirectamente extracciones, excavaciones, aterramientos o vibraciones en el suelo o el subsuelo, incurrirá, </w:t>
      </w:r>
      <w:r w:rsidRPr="00B66DA9">
        <w:rPr>
          <w:rFonts w:ascii="Times New Roman" w:hAnsi="Times New Roman" w:cs="Times New Roman"/>
          <w:bCs/>
          <w:strike/>
          <w:sz w:val="24"/>
          <w:szCs w:val="24"/>
        </w:rPr>
        <w:t>sin perjuicio de las sanciones administrativas a que hubiere lugar,</w:t>
      </w:r>
      <w:r w:rsidRPr="00B66DA9">
        <w:rPr>
          <w:rFonts w:ascii="Times New Roman" w:hAnsi="Times New Roman" w:cs="Times New Roman"/>
          <w:strike/>
          <w:sz w:val="24"/>
          <w:szCs w:val="24"/>
          <w:shd w:val="clear" w:color="auto" w:fill="FFFFFF"/>
        </w:rPr>
        <w:t xml:space="preserve"> en prisión </w:t>
      </w:r>
      <w:r w:rsidRPr="00B66DA9">
        <w:rPr>
          <w:rFonts w:ascii="Times New Roman" w:hAnsi="Times New Roman" w:cs="Times New Roman"/>
          <w:strike/>
          <w:sz w:val="24"/>
          <w:szCs w:val="24"/>
        </w:rPr>
        <w:t>de sesenta (60) a ciento cuarenta y cuatro (144) meses y multa de ciento treinta y cuatro (134) a treinta y cinco mil (35.000) salarios mínimos legales mensuales vigentes.</w:t>
      </w:r>
    </w:p>
    <w:p w14:paraId="668EE379" w14:textId="77777777" w:rsidR="008B687E" w:rsidRPr="00B66DA9" w:rsidRDefault="008B687E" w:rsidP="008B687E">
      <w:pPr>
        <w:spacing w:after="0" w:line="240" w:lineRule="auto"/>
        <w:jc w:val="both"/>
        <w:rPr>
          <w:rFonts w:ascii="Times New Roman" w:hAnsi="Times New Roman" w:cs="Times New Roman"/>
          <w:strike/>
          <w:sz w:val="24"/>
          <w:szCs w:val="24"/>
        </w:rPr>
      </w:pPr>
    </w:p>
    <w:p w14:paraId="12B9974A" w14:textId="77777777" w:rsidR="008B687E" w:rsidRPr="00B66DA9" w:rsidRDefault="008B687E" w:rsidP="008B687E">
      <w:pPr>
        <w:spacing w:after="0" w:line="240" w:lineRule="auto"/>
        <w:jc w:val="both"/>
        <w:rPr>
          <w:rFonts w:ascii="Times New Roman" w:hAnsi="Times New Roman" w:cs="Times New Roman"/>
          <w:strike/>
          <w:sz w:val="24"/>
          <w:szCs w:val="24"/>
          <w:highlight w:val="yellow"/>
          <w:shd w:val="clear" w:color="auto" w:fill="FFFFFF"/>
        </w:rPr>
      </w:pPr>
      <w:r w:rsidRPr="00B66DA9">
        <w:rPr>
          <w:rFonts w:ascii="Times New Roman" w:hAnsi="Times New Roman" w:cs="Times New Roman"/>
          <w:strike/>
          <w:sz w:val="24"/>
          <w:szCs w:val="24"/>
        </w:rPr>
        <w:t>Si la conducta tuviere como consecuencia un impacto ambiental (IA) igual o superior a veinticinco (25) IA, la pena será de prisión</w:t>
      </w:r>
      <w:r w:rsidRPr="00B66DA9">
        <w:rPr>
          <w:rFonts w:ascii="Times New Roman" w:hAnsi="Times New Roman" w:cs="Times New Roman"/>
          <w:strike/>
          <w:sz w:val="24"/>
          <w:szCs w:val="24"/>
          <w:shd w:val="clear" w:color="auto" w:fill="FFFFFF"/>
        </w:rPr>
        <w:t xml:space="preserve"> de </w:t>
      </w:r>
      <w:r w:rsidRPr="00B66DA9">
        <w:rPr>
          <w:rFonts w:ascii="Times New Roman" w:hAnsi="Times New Roman" w:cs="Times New Roman"/>
          <w:strike/>
          <w:sz w:val="24"/>
          <w:szCs w:val="24"/>
        </w:rPr>
        <w:t>ciento ocho (108) a doscientos cincuenta y dos (252) meses y</w:t>
      </w:r>
      <w:r w:rsidRPr="00B66DA9">
        <w:rPr>
          <w:rFonts w:ascii="Times New Roman" w:hAnsi="Times New Roman" w:cs="Times New Roman"/>
          <w:bCs/>
          <w:strike/>
          <w:sz w:val="24"/>
          <w:szCs w:val="24"/>
        </w:rPr>
        <w:t xml:space="preserve"> multa de veintiséis mil (26.000) a cincuenta mil (50.000) salarios mínimos legales mensuales vigentes, </w:t>
      </w:r>
      <w:proofErr w:type="gramStart"/>
      <w:r w:rsidRPr="00B66DA9">
        <w:rPr>
          <w:rFonts w:ascii="Times New Roman" w:hAnsi="Times New Roman" w:cs="Times New Roman"/>
          <w:bCs/>
          <w:strike/>
          <w:sz w:val="24"/>
          <w:szCs w:val="24"/>
        </w:rPr>
        <w:t>de acuerdo a</w:t>
      </w:r>
      <w:proofErr w:type="gramEnd"/>
      <w:r w:rsidRPr="00B66DA9">
        <w:rPr>
          <w:rFonts w:ascii="Times New Roman" w:hAnsi="Times New Roman" w:cs="Times New Roman"/>
          <w:bCs/>
          <w:strike/>
          <w:sz w:val="24"/>
          <w:szCs w:val="24"/>
        </w:rPr>
        <w:t xml:space="preserve"> lo dispuesto en el artículo 338.</w:t>
      </w:r>
    </w:p>
    <w:p w14:paraId="74EDAECC" w14:textId="77777777" w:rsidR="008B687E" w:rsidRPr="00B66DA9" w:rsidRDefault="008B687E" w:rsidP="008B687E">
      <w:pPr>
        <w:spacing w:after="0" w:line="240" w:lineRule="auto"/>
        <w:jc w:val="both"/>
        <w:rPr>
          <w:rFonts w:ascii="Times New Roman" w:hAnsi="Times New Roman" w:cs="Times New Roman"/>
          <w:bCs/>
          <w:strike/>
          <w:color w:val="000000"/>
          <w:sz w:val="24"/>
          <w:szCs w:val="24"/>
        </w:rPr>
      </w:pPr>
    </w:p>
    <w:p w14:paraId="5D57BBCC" w14:textId="77777777" w:rsidR="008B687E" w:rsidRPr="00B66DA9" w:rsidRDefault="008B687E" w:rsidP="008B687E">
      <w:pPr>
        <w:spacing w:after="0" w:line="240" w:lineRule="auto"/>
        <w:jc w:val="both"/>
        <w:rPr>
          <w:rFonts w:ascii="Times New Roman" w:hAnsi="Times New Roman" w:cs="Times New Roman"/>
          <w:bCs/>
          <w:strike/>
          <w:sz w:val="24"/>
          <w:szCs w:val="24"/>
          <w:shd w:val="clear" w:color="auto" w:fill="FFFFFF"/>
        </w:rPr>
      </w:pPr>
      <w:r w:rsidRPr="00B66DA9">
        <w:rPr>
          <w:rFonts w:ascii="Times New Roman" w:hAnsi="Times New Roman" w:cs="Times New Roman"/>
          <w:bCs/>
          <w:strike/>
          <w:color w:val="000000"/>
          <w:sz w:val="24"/>
          <w:szCs w:val="24"/>
        </w:rPr>
        <w:t xml:space="preserve">La pena se aumentará de una tercera parte a la mitad cuando con la conducta se </w:t>
      </w:r>
      <w:r w:rsidRPr="00B66DA9">
        <w:rPr>
          <w:rFonts w:ascii="Times New Roman" w:hAnsi="Times New Roman" w:cs="Times New Roman"/>
          <w:strike/>
          <w:sz w:val="24"/>
          <w:szCs w:val="24"/>
          <w:shd w:val="clear" w:color="auto" w:fill="FFFFFF"/>
        </w:rPr>
        <w:t>destruya, inutilice o haga desaparecer el suelo, subsuelo o sus recursos naturales, o</w:t>
      </w:r>
      <w:r w:rsidRPr="00B66DA9">
        <w:rPr>
          <w:rFonts w:ascii="Times New Roman" w:hAnsi="Times New Roman" w:cs="Times New Roman"/>
          <w:bCs/>
          <w:strike/>
          <w:sz w:val="24"/>
          <w:szCs w:val="24"/>
          <w:shd w:val="clear" w:color="auto" w:fill="FFFFFF"/>
        </w:rPr>
        <w:t xml:space="preserve"> altere o destruya acuíferos.</w:t>
      </w:r>
    </w:p>
    <w:p w14:paraId="09CC6C56" w14:textId="77777777" w:rsidR="008B687E" w:rsidRPr="00B66DA9" w:rsidRDefault="008B687E" w:rsidP="008B687E">
      <w:pPr>
        <w:spacing w:after="0" w:line="240" w:lineRule="auto"/>
        <w:jc w:val="both"/>
        <w:rPr>
          <w:rFonts w:ascii="Times New Roman" w:hAnsi="Times New Roman" w:cs="Times New Roman"/>
          <w:b/>
          <w:bCs/>
          <w:strike/>
          <w:sz w:val="24"/>
          <w:szCs w:val="24"/>
          <w:shd w:val="clear" w:color="auto" w:fill="FFFFFF"/>
        </w:rPr>
      </w:pPr>
    </w:p>
    <w:p w14:paraId="0264CFF3" w14:textId="77777777" w:rsidR="008B687E" w:rsidRPr="00B66DA9" w:rsidRDefault="008B687E" w:rsidP="008B687E">
      <w:pPr>
        <w:spacing w:after="0" w:line="240" w:lineRule="auto"/>
        <w:jc w:val="both"/>
        <w:rPr>
          <w:rFonts w:ascii="Times New Roman" w:hAnsi="Times New Roman" w:cs="Times New Roman"/>
          <w:strike/>
          <w:sz w:val="24"/>
          <w:szCs w:val="24"/>
          <w:shd w:val="clear" w:color="auto" w:fill="FFFFFF"/>
        </w:rPr>
      </w:pPr>
      <w:r w:rsidRPr="00B66DA9">
        <w:rPr>
          <w:rFonts w:ascii="Times New Roman" w:hAnsi="Times New Roman" w:cs="Times New Roman"/>
          <w:b/>
          <w:bCs/>
          <w:strike/>
          <w:sz w:val="24"/>
          <w:szCs w:val="24"/>
          <w:shd w:val="clear" w:color="auto" w:fill="FFFFFF"/>
        </w:rPr>
        <w:t>ARTÍCULO 329A. Depósito o inyección de sustancias en el suelo.</w:t>
      </w:r>
      <w:r w:rsidRPr="00B66DA9">
        <w:rPr>
          <w:rFonts w:ascii="Times New Roman" w:hAnsi="Times New Roman" w:cs="Times New Roman"/>
          <w:bCs/>
          <w:strike/>
          <w:sz w:val="24"/>
          <w:szCs w:val="24"/>
          <w:shd w:val="clear" w:color="auto" w:fill="FFFFFF"/>
        </w:rPr>
        <w:t xml:space="preserve"> El que sin permiso de autoridad competente o con incumplimiento de las normas vigentes realice inyección o depósito de sustancias que generen daños en el ambiente, en el suelo o en el subsuelo, incurrirá, </w:t>
      </w:r>
      <w:r w:rsidRPr="00B66DA9">
        <w:rPr>
          <w:rFonts w:ascii="Times New Roman" w:hAnsi="Times New Roman" w:cs="Times New Roman"/>
          <w:bCs/>
          <w:strike/>
          <w:sz w:val="24"/>
          <w:szCs w:val="24"/>
        </w:rPr>
        <w:t>sin perjuicio de las sanciones administrativas a que hubiere lugar,</w:t>
      </w:r>
      <w:r w:rsidRPr="00B66DA9">
        <w:rPr>
          <w:rFonts w:ascii="Times New Roman" w:hAnsi="Times New Roman" w:cs="Times New Roman"/>
          <w:bCs/>
          <w:strike/>
          <w:sz w:val="24"/>
          <w:szCs w:val="24"/>
          <w:shd w:val="clear" w:color="auto" w:fill="FFFFFF"/>
        </w:rPr>
        <w:t xml:space="preserve"> en</w:t>
      </w:r>
      <w:r w:rsidRPr="00B66DA9">
        <w:rPr>
          <w:rFonts w:ascii="Times New Roman" w:hAnsi="Times New Roman" w:cs="Times New Roman"/>
          <w:strike/>
          <w:sz w:val="24"/>
          <w:szCs w:val="24"/>
          <w:shd w:val="clear" w:color="auto" w:fill="FFFFFF"/>
        </w:rPr>
        <w:t xml:space="preserve"> la pena establecida en el inciso siguiente:</w:t>
      </w:r>
    </w:p>
    <w:p w14:paraId="708A534C" w14:textId="77777777" w:rsidR="008B687E" w:rsidRPr="00B66DA9" w:rsidRDefault="008B687E" w:rsidP="008B687E">
      <w:pPr>
        <w:spacing w:after="0" w:line="240" w:lineRule="auto"/>
        <w:jc w:val="both"/>
        <w:rPr>
          <w:rFonts w:ascii="Times New Roman" w:hAnsi="Times New Roman" w:cs="Times New Roman"/>
          <w:strike/>
          <w:sz w:val="24"/>
          <w:szCs w:val="24"/>
        </w:rPr>
      </w:pPr>
    </w:p>
    <w:p w14:paraId="05AA8965" w14:textId="77777777" w:rsidR="008B687E" w:rsidRPr="00B66DA9" w:rsidRDefault="008B687E" w:rsidP="008B687E">
      <w:pPr>
        <w:spacing w:after="0" w:line="240" w:lineRule="auto"/>
        <w:jc w:val="both"/>
        <w:rPr>
          <w:rFonts w:ascii="Times New Roman" w:hAnsi="Times New Roman" w:cs="Times New Roman"/>
          <w:strike/>
          <w:sz w:val="24"/>
          <w:szCs w:val="24"/>
          <w:shd w:val="clear" w:color="auto" w:fill="FFFFFF"/>
        </w:rPr>
      </w:pPr>
      <w:r w:rsidRPr="00B66DA9">
        <w:rPr>
          <w:rFonts w:ascii="Times New Roman" w:hAnsi="Times New Roman" w:cs="Times New Roman"/>
          <w:strike/>
          <w:sz w:val="24"/>
          <w:szCs w:val="24"/>
        </w:rPr>
        <w:t>Si la conducta tuviere como consecuencia un impacto ambiental (IA) igual o superior a veinticinco (25) IA, la pena será de prisión</w:t>
      </w:r>
      <w:r w:rsidRPr="00B66DA9">
        <w:rPr>
          <w:rFonts w:ascii="Times New Roman" w:hAnsi="Times New Roman" w:cs="Times New Roman"/>
          <w:strike/>
          <w:sz w:val="24"/>
          <w:szCs w:val="24"/>
          <w:shd w:val="clear" w:color="auto" w:fill="FFFFFF"/>
        </w:rPr>
        <w:t xml:space="preserve"> de cuarenta y ocho (48) a ciento ocho (108) meses y</w:t>
      </w:r>
      <w:r w:rsidRPr="00B66DA9">
        <w:rPr>
          <w:rFonts w:ascii="Times New Roman" w:hAnsi="Times New Roman" w:cs="Times New Roman"/>
          <w:bCs/>
          <w:strike/>
          <w:sz w:val="24"/>
          <w:szCs w:val="24"/>
        </w:rPr>
        <w:t xml:space="preserve"> multa de ciento treinta y cuatro (134) a cuarenta mil (40.000) salarios mínimos legales mensuales vigentes, </w:t>
      </w:r>
      <w:proofErr w:type="gramStart"/>
      <w:r w:rsidRPr="00B66DA9">
        <w:rPr>
          <w:rFonts w:ascii="Times New Roman" w:hAnsi="Times New Roman" w:cs="Times New Roman"/>
          <w:bCs/>
          <w:strike/>
          <w:sz w:val="24"/>
          <w:szCs w:val="24"/>
        </w:rPr>
        <w:t>de acuerdo a</w:t>
      </w:r>
      <w:proofErr w:type="gramEnd"/>
      <w:r w:rsidRPr="00B66DA9">
        <w:rPr>
          <w:rFonts w:ascii="Times New Roman" w:hAnsi="Times New Roman" w:cs="Times New Roman"/>
          <w:bCs/>
          <w:strike/>
          <w:sz w:val="24"/>
          <w:szCs w:val="24"/>
        </w:rPr>
        <w:t xml:space="preserve"> lo dispuesto en el artículo 338.</w:t>
      </w:r>
    </w:p>
    <w:p w14:paraId="7A6598C4" w14:textId="77777777" w:rsidR="008B687E" w:rsidRPr="00B66DA9" w:rsidRDefault="008B687E" w:rsidP="008B687E">
      <w:pPr>
        <w:spacing w:after="0" w:line="240" w:lineRule="auto"/>
        <w:jc w:val="both"/>
        <w:rPr>
          <w:rFonts w:ascii="Times New Roman" w:hAnsi="Times New Roman" w:cs="Times New Roman"/>
          <w:bCs/>
          <w:strike/>
          <w:color w:val="000000"/>
          <w:sz w:val="24"/>
          <w:szCs w:val="24"/>
        </w:rPr>
      </w:pPr>
    </w:p>
    <w:p w14:paraId="26A2966F" w14:textId="77777777" w:rsidR="008B687E" w:rsidRPr="00B66DA9" w:rsidRDefault="008B687E" w:rsidP="008B687E">
      <w:pPr>
        <w:spacing w:after="0" w:line="240" w:lineRule="auto"/>
        <w:jc w:val="both"/>
        <w:rPr>
          <w:rFonts w:ascii="Times New Roman" w:hAnsi="Times New Roman" w:cs="Times New Roman"/>
          <w:bCs/>
          <w:strike/>
          <w:sz w:val="24"/>
          <w:szCs w:val="24"/>
          <w:shd w:val="clear" w:color="auto" w:fill="FFFFFF"/>
        </w:rPr>
      </w:pPr>
      <w:r w:rsidRPr="00B66DA9">
        <w:rPr>
          <w:rFonts w:ascii="Times New Roman" w:hAnsi="Times New Roman" w:cs="Times New Roman"/>
          <w:bCs/>
          <w:strike/>
          <w:color w:val="000000"/>
          <w:sz w:val="24"/>
          <w:szCs w:val="24"/>
        </w:rPr>
        <w:t xml:space="preserve">La pena se aumentará de una tercera parte a la mitad cuando con la conducta se </w:t>
      </w:r>
      <w:r w:rsidRPr="00B66DA9">
        <w:rPr>
          <w:rFonts w:ascii="Times New Roman" w:hAnsi="Times New Roman" w:cs="Times New Roman"/>
          <w:strike/>
          <w:sz w:val="24"/>
          <w:szCs w:val="24"/>
          <w:shd w:val="clear" w:color="auto" w:fill="FFFFFF"/>
        </w:rPr>
        <w:t>destruya, inutilice o haga desaparecer el suelo, subsuelo o sus recursos naturales, o</w:t>
      </w:r>
      <w:r w:rsidRPr="00B66DA9">
        <w:rPr>
          <w:rFonts w:ascii="Times New Roman" w:hAnsi="Times New Roman" w:cs="Times New Roman"/>
          <w:bCs/>
          <w:strike/>
          <w:sz w:val="24"/>
          <w:szCs w:val="24"/>
          <w:shd w:val="clear" w:color="auto" w:fill="FFFFFF"/>
        </w:rPr>
        <w:t xml:space="preserve"> altere o destruya acuíferos.</w:t>
      </w:r>
    </w:p>
    <w:p w14:paraId="4671E449" w14:textId="77777777" w:rsidR="008B687E" w:rsidRPr="00B66DA9" w:rsidRDefault="008B687E" w:rsidP="008B687E">
      <w:pPr>
        <w:spacing w:after="0" w:line="240" w:lineRule="auto"/>
        <w:jc w:val="both"/>
        <w:rPr>
          <w:rFonts w:ascii="Times New Roman" w:hAnsi="Times New Roman" w:cs="Times New Roman"/>
          <w:b/>
          <w:bCs/>
          <w:strike/>
          <w:sz w:val="24"/>
          <w:szCs w:val="24"/>
          <w:shd w:val="clear" w:color="auto" w:fill="FFFFFF"/>
        </w:rPr>
      </w:pPr>
    </w:p>
    <w:p w14:paraId="1A4F94B2" w14:textId="77777777" w:rsidR="008B687E" w:rsidRPr="00B66DA9" w:rsidRDefault="008B687E" w:rsidP="008B687E">
      <w:pPr>
        <w:spacing w:after="0" w:line="240" w:lineRule="auto"/>
        <w:jc w:val="both"/>
        <w:rPr>
          <w:rFonts w:ascii="Times New Roman" w:hAnsi="Times New Roman" w:cs="Times New Roman"/>
          <w:strike/>
          <w:sz w:val="24"/>
          <w:szCs w:val="24"/>
        </w:rPr>
      </w:pPr>
      <w:r w:rsidRPr="00B66DA9">
        <w:rPr>
          <w:rFonts w:ascii="Times New Roman" w:hAnsi="Times New Roman" w:cs="Times New Roman"/>
          <w:b/>
          <w:bCs/>
          <w:strike/>
          <w:sz w:val="24"/>
          <w:szCs w:val="24"/>
          <w:shd w:val="clear" w:color="auto" w:fill="FFFFFF"/>
        </w:rPr>
        <w:t>ARTÍCULO</w:t>
      </w:r>
      <w:r w:rsidRPr="00B66DA9">
        <w:rPr>
          <w:rFonts w:ascii="Times New Roman" w:hAnsi="Times New Roman" w:cs="Times New Roman"/>
          <w:b/>
          <w:bCs/>
          <w:strike/>
          <w:sz w:val="24"/>
          <w:szCs w:val="24"/>
        </w:rPr>
        <w:t> </w:t>
      </w:r>
      <w:r w:rsidRPr="00B66DA9">
        <w:rPr>
          <w:rFonts w:ascii="Times New Roman" w:hAnsi="Times New Roman" w:cs="Times New Roman"/>
          <w:b/>
          <w:bCs/>
          <w:strike/>
          <w:sz w:val="24"/>
          <w:szCs w:val="24"/>
          <w:shd w:val="clear" w:color="auto" w:fill="FFFFFF"/>
        </w:rPr>
        <w:t> 329B.</w:t>
      </w:r>
      <w:r w:rsidRPr="00B66DA9">
        <w:rPr>
          <w:rFonts w:ascii="Times New Roman" w:hAnsi="Times New Roman" w:cs="Times New Roman"/>
          <w:strike/>
          <w:sz w:val="24"/>
          <w:szCs w:val="24"/>
          <w:shd w:val="clear" w:color="auto" w:fill="FFFFFF"/>
        </w:rPr>
        <w:t> </w:t>
      </w:r>
      <w:r w:rsidRPr="00B66DA9">
        <w:rPr>
          <w:rFonts w:ascii="Times New Roman" w:hAnsi="Times New Roman" w:cs="Times New Roman"/>
          <w:b/>
          <w:strike/>
          <w:sz w:val="24"/>
          <w:szCs w:val="24"/>
          <w:shd w:val="clear" w:color="auto" w:fill="FFFFFF"/>
        </w:rPr>
        <w:t>Explotación ilícita de yacimiento minero y otros materiales.</w:t>
      </w:r>
      <w:r w:rsidRPr="00B66DA9">
        <w:rPr>
          <w:rFonts w:ascii="Times New Roman" w:hAnsi="Times New Roman" w:cs="Times New Roman"/>
          <w:strike/>
          <w:sz w:val="24"/>
          <w:szCs w:val="24"/>
          <w:shd w:val="clear" w:color="auto" w:fill="FFFFFF"/>
        </w:rPr>
        <w:t xml:space="preserve"> El que sin permiso de autoridad competente o con incumplimiento de las normas vigentes excave, explote, explore o extraiga yacimiento minero, arena, material pétreo o de arrastre de los cauces y orillas de los ríos, incurrirá, </w:t>
      </w:r>
      <w:r w:rsidRPr="00B66DA9">
        <w:rPr>
          <w:rFonts w:ascii="Times New Roman" w:hAnsi="Times New Roman" w:cs="Times New Roman"/>
          <w:bCs/>
          <w:strike/>
          <w:sz w:val="24"/>
          <w:szCs w:val="24"/>
        </w:rPr>
        <w:t xml:space="preserve">sin perjuicio de las sanciones administrativas a que </w:t>
      </w:r>
      <w:r w:rsidRPr="00B66DA9">
        <w:rPr>
          <w:rFonts w:ascii="Times New Roman" w:hAnsi="Times New Roman" w:cs="Times New Roman"/>
          <w:bCs/>
          <w:strike/>
          <w:sz w:val="24"/>
          <w:szCs w:val="24"/>
        </w:rPr>
        <w:lastRenderedPageBreak/>
        <w:t>hubiere lugar,</w:t>
      </w:r>
      <w:r w:rsidRPr="00B66DA9">
        <w:rPr>
          <w:rFonts w:ascii="Times New Roman" w:hAnsi="Times New Roman" w:cs="Times New Roman"/>
          <w:strike/>
          <w:sz w:val="24"/>
          <w:szCs w:val="24"/>
          <w:shd w:val="clear" w:color="auto" w:fill="FFFFFF"/>
        </w:rPr>
        <w:t xml:space="preserve"> en prisión </w:t>
      </w:r>
      <w:r w:rsidRPr="00B66DA9">
        <w:rPr>
          <w:rFonts w:ascii="Times New Roman" w:hAnsi="Times New Roman" w:cs="Times New Roman"/>
          <w:bCs/>
          <w:strike/>
          <w:color w:val="000000"/>
          <w:sz w:val="24"/>
          <w:szCs w:val="24"/>
        </w:rPr>
        <w:t>de setenta y dos (72) a ciento cuarenta y cuatro (144) meses</w:t>
      </w:r>
      <w:r w:rsidRPr="00B66DA9">
        <w:rPr>
          <w:rFonts w:ascii="Times New Roman" w:hAnsi="Times New Roman" w:cs="Times New Roman"/>
          <w:bCs/>
          <w:strike/>
          <w:sz w:val="24"/>
          <w:szCs w:val="24"/>
        </w:rPr>
        <w:t xml:space="preserve"> </w:t>
      </w:r>
      <w:r w:rsidRPr="00B66DA9">
        <w:rPr>
          <w:rFonts w:ascii="Times New Roman" w:hAnsi="Times New Roman" w:cs="Times New Roman"/>
          <w:bCs/>
          <w:strike/>
          <w:color w:val="000000"/>
          <w:sz w:val="24"/>
          <w:szCs w:val="24"/>
        </w:rPr>
        <w:t xml:space="preserve">y </w:t>
      </w:r>
      <w:r w:rsidRPr="00B66DA9">
        <w:rPr>
          <w:rFonts w:ascii="Times New Roman" w:hAnsi="Times New Roman" w:cs="Times New Roman"/>
          <w:strike/>
          <w:sz w:val="24"/>
          <w:szCs w:val="24"/>
        </w:rPr>
        <w:t>multa de ciento treinta y cuatro (134) a cincuenta mil (50.000) salarios mínimos legales mensuales vigentes.</w:t>
      </w:r>
    </w:p>
    <w:p w14:paraId="7A0831C6" w14:textId="77777777" w:rsidR="008B687E" w:rsidRPr="00B66DA9" w:rsidRDefault="008B687E" w:rsidP="008B687E">
      <w:pPr>
        <w:spacing w:after="0" w:line="240" w:lineRule="auto"/>
        <w:jc w:val="both"/>
        <w:rPr>
          <w:rFonts w:ascii="Times New Roman" w:hAnsi="Times New Roman" w:cs="Times New Roman"/>
          <w:strike/>
          <w:sz w:val="24"/>
          <w:szCs w:val="24"/>
        </w:rPr>
      </w:pPr>
    </w:p>
    <w:p w14:paraId="276A7337" w14:textId="77777777" w:rsidR="008B687E" w:rsidRPr="00B66DA9" w:rsidRDefault="008B687E" w:rsidP="008B687E">
      <w:pPr>
        <w:spacing w:after="0" w:line="240" w:lineRule="auto"/>
        <w:jc w:val="both"/>
        <w:rPr>
          <w:rFonts w:ascii="Times New Roman" w:hAnsi="Times New Roman" w:cs="Times New Roman"/>
          <w:strike/>
          <w:sz w:val="24"/>
          <w:szCs w:val="24"/>
          <w:shd w:val="clear" w:color="auto" w:fill="FFFFFF"/>
        </w:rPr>
      </w:pPr>
      <w:r w:rsidRPr="00B66DA9">
        <w:rPr>
          <w:rFonts w:ascii="Times New Roman" w:hAnsi="Times New Roman" w:cs="Times New Roman"/>
          <w:strike/>
          <w:sz w:val="24"/>
          <w:szCs w:val="24"/>
        </w:rPr>
        <w:t>Si la conducta tuviere como consecuencia un impacto ambiental (IA) igual o superior a veinticinco (25) IA, la pena será de prisión</w:t>
      </w:r>
      <w:r w:rsidRPr="00B66DA9">
        <w:rPr>
          <w:rFonts w:ascii="Times New Roman" w:hAnsi="Times New Roman" w:cs="Times New Roman"/>
          <w:strike/>
          <w:sz w:val="24"/>
          <w:szCs w:val="24"/>
          <w:shd w:val="clear" w:color="auto" w:fill="FFFFFF"/>
        </w:rPr>
        <w:t xml:space="preserve"> de ciento veinte (120) a doscientos cincuenta y dos (252) meses y</w:t>
      </w:r>
      <w:r w:rsidRPr="00B66DA9">
        <w:rPr>
          <w:rFonts w:ascii="Times New Roman" w:hAnsi="Times New Roman" w:cs="Times New Roman"/>
          <w:bCs/>
          <w:strike/>
          <w:sz w:val="24"/>
          <w:szCs w:val="24"/>
        </w:rPr>
        <w:t xml:space="preserve"> multa de cuarenta mil (40.000) a cincuenta mil (50.000) salarios mínimos legales mensuales vigentes, </w:t>
      </w:r>
      <w:proofErr w:type="gramStart"/>
      <w:r w:rsidRPr="00B66DA9">
        <w:rPr>
          <w:rFonts w:ascii="Times New Roman" w:hAnsi="Times New Roman" w:cs="Times New Roman"/>
          <w:bCs/>
          <w:strike/>
          <w:sz w:val="24"/>
          <w:szCs w:val="24"/>
        </w:rPr>
        <w:t>de acuerdo a</w:t>
      </w:r>
      <w:proofErr w:type="gramEnd"/>
      <w:r w:rsidRPr="00B66DA9">
        <w:rPr>
          <w:rFonts w:ascii="Times New Roman" w:hAnsi="Times New Roman" w:cs="Times New Roman"/>
          <w:bCs/>
          <w:strike/>
          <w:sz w:val="24"/>
          <w:szCs w:val="24"/>
        </w:rPr>
        <w:t xml:space="preserve"> lo dispuesto en el artículo 338.</w:t>
      </w:r>
    </w:p>
    <w:p w14:paraId="39D2C93E" w14:textId="77777777" w:rsidR="008B687E" w:rsidRPr="00B66DA9" w:rsidRDefault="008B687E" w:rsidP="008B687E">
      <w:pPr>
        <w:spacing w:after="0" w:line="240" w:lineRule="auto"/>
        <w:jc w:val="both"/>
        <w:rPr>
          <w:rFonts w:ascii="Times New Roman" w:hAnsi="Times New Roman" w:cs="Times New Roman"/>
          <w:bCs/>
          <w:strike/>
          <w:color w:val="000000"/>
          <w:sz w:val="24"/>
          <w:szCs w:val="24"/>
        </w:rPr>
      </w:pPr>
    </w:p>
    <w:p w14:paraId="667F1534" w14:textId="77777777" w:rsidR="008B687E" w:rsidRPr="00B66DA9" w:rsidRDefault="008B687E" w:rsidP="008B687E">
      <w:pPr>
        <w:spacing w:after="0" w:line="240" w:lineRule="auto"/>
        <w:jc w:val="both"/>
        <w:rPr>
          <w:rFonts w:ascii="Times New Roman" w:hAnsi="Times New Roman" w:cs="Times New Roman"/>
          <w:bCs/>
          <w:strike/>
          <w:sz w:val="24"/>
          <w:szCs w:val="24"/>
          <w:shd w:val="clear" w:color="auto" w:fill="FFFFFF"/>
        </w:rPr>
      </w:pPr>
      <w:r w:rsidRPr="00B66DA9">
        <w:rPr>
          <w:rFonts w:ascii="Times New Roman" w:hAnsi="Times New Roman" w:cs="Times New Roman"/>
          <w:bCs/>
          <w:strike/>
          <w:color w:val="000000"/>
          <w:sz w:val="24"/>
          <w:szCs w:val="24"/>
        </w:rPr>
        <w:t xml:space="preserve">La pena se aumentará de una tercera parte a la mitad cuando la conducta </w:t>
      </w:r>
      <w:r w:rsidRPr="00B66DA9">
        <w:rPr>
          <w:rFonts w:ascii="Times New Roman" w:hAnsi="Times New Roman" w:cs="Times New Roman"/>
          <w:strike/>
          <w:sz w:val="24"/>
          <w:szCs w:val="24"/>
          <w:shd w:val="clear" w:color="auto" w:fill="FFFFFF"/>
        </w:rPr>
        <w:t>se realice a través de minería a cielo abierto, o</w:t>
      </w:r>
      <w:r w:rsidRPr="00B66DA9">
        <w:rPr>
          <w:rFonts w:ascii="Times New Roman" w:hAnsi="Times New Roman" w:cs="Times New Roman"/>
          <w:bCs/>
          <w:strike/>
          <w:color w:val="000000"/>
          <w:sz w:val="24"/>
          <w:szCs w:val="24"/>
        </w:rPr>
        <w:t xml:space="preserve"> con la conducta se </w:t>
      </w:r>
      <w:r w:rsidRPr="00B66DA9">
        <w:rPr>
          <w:rFonts w:ascii="Times New Roman" w:hAnsi="Times New Roman" w:cs="Times New Roman"/>
          <w:strike/>
          <w:sz w:val="24"/>
          <w:szCs w:val="24"/>
          <w:shd w:val="clear" w:color="auto" w:fill="FFFFFF"/>
        </w:rPr>
        <w:t xml:space="preserve">destruya, inutilice o haga desaparecer el suelo, subsuelo o sus recursos naturales, </w:t>
      </w:r>
      <w:r w:rsidRPr="00B66DA9">
        <w:rPr>
          <w:rFonts w:ascii="Times New Roman" w:hAnsi="Times New Roman" w:cs="Times New Roman"/>
          <w:bCs/>
          <w:strike/>
          <w:sz w:val="24"/>
          <w:szCs w:val="24"/>
          <w:shd w:val="clear" w:color="auto" w:fill="FFFFFF"/>
        </w:rPr>
        <w:t>o altere o destruya acuíferos.</w:t>
      </w:r>
    </w:p>
    <w:p w14:paraId="345D693F" w14:textId="77777777" w:rsidR="008B687E" w:rsidRPr="00B66DA9" w:rsidRDefault="008B687E" w:rsidP="008B687E">
      <w:pPr>
        <w:shd w:val="clear" w:color="auto" w:fill="FFFFFF"/>
        <w:spacing w:after="0" w:line="240" w:lineRule="auto"/>
        <w:jc w:val="both"/>
        <w:rPr>
          <w:rFonts w:ascii="Times New Roman" w:hAnsi="Times New Roman" w:cs="Times New Roman"/>
          <w:b/>
          <w:strike/>
          <w:sz w:val="24"/>
          <w:szCs w:val="24"/>
        </w:rPr>
      </w:pPr>
    </w:p>
    <w:p w14:paraId="7E9B6B4D" w14:textId="77777777" w:rsidR="008B687E" w:rsidRPr="00B66DA9" w:rsidRDefault="008B687E" w:rsidP="008B687E">
      <w:pPr>
        <w:shd w:val="clear" w:color="auto" w:fill="FFFFFF"/>
        <w:spacing w:after="0" w:line="240" w:lineRule="auto"/>
        <w:jc w:val="both"/>
        <w:rPr>
          <w:rFonts w:ascii="Times New Roman" w:hAnsi="Times New Roman" w:cs="Times New Roman"/>
          <w:strike/>
          <w:sz w:val="24"/>
          <w:szCs w:val="24"/>
        </w:rPr>
      </w:pPr>
      <w:r w:rsidRPr="00B66DA9">
        <w:rPr>
          <w:rFonts w:ascii="Times New Roman" w:hAnsi="Times New Roman" w:cs="Times New Roman"/>
          <w:b/>
          <w:strike/>
          <w:sz w:val="24"/>
          <w:szCs w:val="24"/>
        </w:rPr>
        <w:t xml:space="preserve">ARTÍCULO 329C. </w:t>
      </w:r>
      <w:proofErr w:type="spellStart"/>
      <w:r w:rsidRPr="00B66DA9">
        <w:rPr>
          <w:rFonts w:ascii="Times New Roman" w:hAnsi="Times New Roman" w:cs="Times New Roman"/>
          <w:b/>
          <w:strike/>
          <w:sz w:val="24"/>
          <w:szCs w:val="24"/>
        </w:rPr>
        <w:t>Fracking</w:t>
      </w:r>
      <w:proofErr w:type="spellEnd"/>
      <w:r w:rsidRPr="00B66DA9">
        <w:rPr>
          <w:rFonts w:ascii="Times New Roman" w:hAnsi="Times New Roman" w:cs="Times New Roman"/>
          <w:b/>
          <w:strike/>
          <w:sz w:val="24"/>
          <w:szCs w:val="24"/>
        </w:rPr>
        <w:t>.</w:t>
      </w:r>
      <w:r w:rsidRPr="00B66DA9">
        <w:rPr>
          <w:rFonts w:ascii="Times New Roman" w:hAnsi="Times New Roman" w:cs="Times New Roman"/>
          <w:strike/>
          <w:sz w:val="24"/>
          <w:szCs w:val="24"/>
        </w:rPr>
        <w:t xml:space="preserve"> El que realice actividades de explotación y aprovechamiento del suelo o del subsuelo a través del método de fractura hidráulica, incurrirá, </w:t>
      </w:r>
      <w:r w:rsidRPr="00B66DA9">
        <w:rPr>
          <w:rFonts w:ascii="Times New Roman" w:hAnsi="Times New Roman" w:cs="Times New Roman"/>
          <w:bCs/>
          <w:strike/>
          <w:sz w:val="24"/>
          <w:szCs w:val="24"/>
        </w:rPr>
        <w:t>sin perjuicio de las sanciones administrativas a que hubiere lugar,</w:t>
      </w:r>
      <w:r w:rsidRPr="00B66DA9">
        <w:rPr>
          <w:rFonts w:ascii="Times New Roman" w:hAnsi="Times New Roman" w:cs="Times New Roman"/>
          <w:strike/>
          <w:sz w:val="24"/>
          <w:szCs w:val="24"/>
        </w:rPr>
        <w:t xml:space="preserve"> en prisión de noventa y seis (96) a ciento ochenta (180) meses </w:t>
      </w:r>
      <w:r w:rsidRPr="00B66DA9">
        <w:rPr>
          <w:rFonts w:ascii="Times New Roman" w:hAnsi="Times New Roman" w:cs="Times New Roman"/>
          <w:bCs/>
          <w:strike/>
          <w:color w:val="000000"/>
          <w:sz w:val="24"/>
          <w:szCs w:val="24"/>
        </w:rPr>
        <w:t xml:space="preserve">y </w:t>
      </w:r>
      <w:r w:rsidRPr="00B66DA9">
        <w:rPr>
          <w:rFonts w:ascii="Times New Roman" w:hAnsi="Times New Roman" w:cs="Times New Roman"/>
          <w:strike/>
          <w:sz w:val="24"/>
          <w:szCs w:val="24"/>
        </w:rPr>
        <w:t>multa de ciento treinta y cuatro (134) a treinta mil (30.000) salarios mínimos legales mensuales vigentes.</w:t>
      </w:r>
    </w:p>
    <w:p w14:paraId="2B706BE0" w14:textId="77777777" w:rsidR="008B687E" w:rsidRPr="00B66DA9" w:rsidRDefault="008B687E" w:rsidP="008B687E">
      <w:pPr>
        <w:spacing w:after="0" w:line="240" w:lineRule="auto"/>
        <w:jc w:val="both"/>
        <w:rPr>
          <w:rFonts w:ascii="Times New Roman" w:hAnsi="Times New Roman" w:cs="Times New Roman"/>
          <w:strike/>
          <w:sz w:val="24"/>
          <w:szCs w:val="24"/>
          <w:highlight w:val="yellow"/>
          <w:shd w:val="clear" w:color="auto" w:fill="FFFFFF"/>
        </w:rPr>
      </w:pPr>
      <w:r w:rsidRPr="00B66DA9">
        <w:rPr>
          <w:rFonts w:ascii="Times New Roman" w:hAnsi="Times New Roman" w:cs="Times New Roman"/>
          <w:strike/>
          <w:sz w:val="24"/>
          <w:szCs w:val="24"/>
        </w:rPr>
        <w:t>Si la conducta tuviere como consecuencia un impacto ambiental (IA) igual o superior a veinticinco (25) IA, la pena será de prisión</w:t>
      </w:r>
      <w:r w:rsidRPr="00B66DA9">
        <w:rPr>
          <w:rFonts w:ascii="Times New Roman" w:hAnsi="Times New Roman" w:cs="Times New Roman"/>
          <w:strike/>
          <w:sz w:val="24"/>
          <w:szCs w:val="24"/>
          <w:shd w:val="clear" w:color="auto" w:fill="FFFFFF"/>
        </w:rPr>
        <w:t xml:space="preserve"> de ciento cuarenta y cuatro (144) a doscientos ochenta y ocho (288) meses y</w:t>
      </w:r>
      <w:r w:rsidRPr="00B66DA9">
        <w:rPr>
          <w:rFonts w:ascii="Times New Roman" w:hAnsi="Times New Roman" w:cs="Times New Roman"/>
          <w:bCs/>
          <w:strike/>
          <w:sz w:val="24"/>
          <w:szCs w:val="24"/>
        </w:rPr>
        <w:t xml:space="preserve"> multa de treinta y cinco mil (35.000) a cincuenta mil (50.000) salarios mínimos legales mensuales vigentes, </w:t>
      </w:r>
      <w:proofErr w:type="gramStart"/>
      <w:r w:rsidRPr="00B66DA9">
        <w:rPr>
          <w:rFonts w:ascii="Times New Roman" w:hAnsi="Times New Roman" w:cs="Times New Roman"/>
          <w:bCs/>
          <w:strike/>
          <w:sz w:val="24"/>
          <w:szCs w:val="24"/>
        </w:rPr>
        <w:t>de acuerdo a</w:t>
      </w:r>
      <w:proofErr w:type="gramEnd"/>
      <w:r w:rsidRPr="00B66DA9">
        <w:rPr>
          <w:rFonts w:ascii="Times New Roman" w:hAnsi="Times New Roman" w:cs="Times New Roman"/>
          <w:bCs/>
          <w:strike/>
          <w:sz w:val="24"/>
          <w:szCs w:val="24"/>
        </w:rPr>
        <w:t xml:space="preserve"> lo dispuesto en el artículo 338.</w:t>
      </w:r>
    </w:p>
    <w:p w14:paraId="12E73071" w14:textId="77777777" w:rsidR="008B687E" w:rsidRPr="00B66DA9" w:rsidRDefault="008B687E" w:rsidP="008B687E">
      <w:pPr>
        <w:spacing w:after="0" w:line="240" w:lineRule="auto"/>
        <w:jc w:val="both"/>
        <w:rPr>
          <w:rFonts w:ascii="Times New Roman" w:hAnsi="Times New Roman" w:cs="Times New Roman"/>
          <w:bCs/>
          <w:strike/>
          <w:color w:val="000000"/>
          <w:sz w:val="24"/>
          <w:szCs w:val="24"/>
        </w:rPr>
      </w:pPr>
    </w:p>
    <w:p w14:paraId="4A3A1E24" w14:textId="77777777" w:rsidR="008B687E" w:rsidRPr="00B66DA9" w:rsidRDefault="008B687E" w:rsidP="008B687E">
      <w:pPr>
        <w:spacing w:after="0" w:line="240" w:lineRule="auto"/>
        <w:jc w:val="both"/>
        <w:rPr>
          <w:rFonts w:ascii="Times New Roman" w:hAnsi="Times New Roman" w:cs="Times New Roman"/>
          <w:bCs/>
          <w:strike/>
          <w:sz w:val="24"/>
          <w:szCs w:val="24"/>
          <w:shd w:val="clear" w:color="auto" w:fill="FFFFFF"/>
        </w:rPr>
      </w:pPr>
      <w:r w:rsidRPr="00B66DA9">
        <w:rPr>
          <w:rFonts w:ascii="Times New Roman" w:hAnsi="Times New Roman" w:cs="Times New Roman"/>
          <w:bCs/>
          <w:strike/>
          <w:color w:val="000000"/>
          <w:sz w:val="24"/>
          <w:szCs w:val="24"/>
        </w:rPr>
        <w:t xml:space="preserve">La pena se aumentará de una tercera parte a la mitad cuando con la conducta se </w:t>
      </w:r>
      <w:r w:rsidRPr="00B66DA9">
        <w:rPr>
          <w:rFonts w:ascii="Times New Roman" w:hAnsi="Times New Roman" w:cs="Times New Roman"/>
          <w:strike/>
          <w:sz w:val="24"/>
          <w:szCs w:val="24"/>
          <w:shd w:val="clear" w:color="auto" w:fill="FFFFFF"/>
        </w:rPr>
        <w:t>destruya, inutilice o haga desaparecer el suelo, subsuelo o sus recursos naturales</w:t>
      </w:r>
      <w:r w:rsidRPr="00B66DA9">
        <w:rPr>
          <w:rFonts w:ascii="Times New Roman" w:hAnsi="Times New Roman" w:cs="Times New Roman"/>
          <w:bCs/>
          <w:strike/>
          <w:sz w:val="24"/>
          <w:szCs w:val="24"/>
          <w:shd w:val="clear" w:color="auto" w:fill="FFFFFF"/>
        </w:rPr>
        <w:t xml:space="preserve"> o altere o destruya acuíferos.</w:t>
      </w:r>
    </w:p>
    <w:p w14:paraId="20E72A46" w14:textId="77777777" w:rsidR="00B66DA9" w:rsidRDefault="00B66DA9" w:rsidP="00B66DA9">
      <w:pPr>
        <w:rPr>
          <w:rFonts w:ascii="Times New Roman" w:hAnsi="Times New Roman" w:cs="Times New Roman"/>
          <w:bCs/>
          <w:sz w:val="24"/>
          <w:szCs w:val="24"/>
        </w:rPr>
      </w:pPr>
    </w:p>
    <w:p w14:paraId="58FEC568" w14:textId="188C2519" w:rsidR="009E3054" w:rsidRDefault="009E3054" w:rsidP="00B66DA9">
      <w:pPr>
        <w:rPr>
          <w:rFonts w:ascii="Times New Roman" w:hAnsi="Times New Roman" w:cs="Times New Roman"/>
          <w:bCs/>
          <w:sz w:val="24"/>
          <w:szCs w:val="24"/>
        </w:rPr>
      </w:pPr>
      <w:r w:rsidRPr="00B66DA9">
        <w:rPr>
          <w:rFonts w:ascii="Times New Roman" w:hAnsi="Times New Roman" w:cs="Times New Roman"/>
          <w:bCs/>
          <w:sz w:val="24"/>
          <w:szCs w:val="24"/>
        </w:rPr>
        <w:t>J</w:t>
      </w:r>
      <w:r w:rsidR="00B66DA9" w:rsidRPr="00B66DA9">
        <w:rPr>
          <w:rFonts w:ascii="Times New Roman" w:hAnsi="Times New Roman" w:cs="Times New Roman"/>
          <w:bCs/>
          <w:sz w:val="24"/>
          <w:szCs w:val="24"/>
        </w:rPr>
        <w:t>ustificación</w:t>
      </w:r>
    </w:p>
    <w:p w14:paraId="5377E26F" w14:textId="5EF667DC" w:rsidR="00111944" w:rsidRPr="00111944" w:rsidRDefault="00111944" w:rsidP="00B66DA9">
      <w:pPr>
        <w:rPr>
          <w:rFonts w:ascii="Times New Roman" w:eastAsia="Times New Roman" w:hAnsi="Times New Roman" w:cs="Times New Roman"/>
          <w:bCs/>
          <w:sz w:val="24"/>
          <w:szCs w:val="24"/>
          <w:lang w:eastAsia="es-CO"/>
        </w:rPr>
      </w:pPr>
      <w:r>
        <w:rPr>
          <w:rFonts w:ascii="Times New Roman" w:hAnsi="Times New Roman" w:cs="Times New Roman"/>
          <w:b/>
          <w:sz w:val="24"/>
          <w:szCs w:val="24"/>
        </w:rPr>
        <w:t>AFECTACIÓN AL SECTOR MINERO</w:t>
      </w:r>
    </w:p>
    <w:p w14:paraId="7F5215F5" w14:textId="079569F0" w:rsidR="0065264B" w:rsidRPr="00BD13DF" w:rsidRDefault="00BD13DF" w:rsidP="00BD13DF">
      <w:pPr>
        <w:pStyle w:val="NormalWeb"/>
        <w:jc w:val="both"/>
      </w:pPr>
      <w:r>
        <w:t>Los artículos que se propone eliminar, de dejarse en el</w:t>
      </w:r>
      <w:r w:rsidR="0065264B" w:rsidRPr="00BD13DF">
        <w:t xml:space="preserve"> proyecto </w:t>
      </w:r>
      <w:r w:rsidR="00E516E7">
        <w:t>pe</w:t>
      </w:r>
      <w:r w:rsidR="00E516E7" w:rsidRPr="00BD13DF">
        <w:t>rjudicarían</w:t>
      </w:r>
      <w:r w:rsidR="0065264B" w:rsidRPr="00BD13DF">
        <w:t xml:space="preserve"> a los mineros de subsistencia, pues en su labor genera </w:t>
      </w:r>
      <w:r w:rsidR="00E516E7" w:rsidRPr="00BD13DF">
        <w:t>pequeños</w:t>
      </w:r>
      <w:r w:rsidR="0065264B" w:rsidRPr="00BD13DF">
        <w:t xml:space="preserve"> impactos que los conduciría a la </w:t>
      </w:r>
      <w:r w:rsidR="00E516E7" w:rsidRPr="00BD13DF">
        <w:t>cárcel</w:t>
      </w:r>
      <w:r w:rsidR="0065264B" w:rsidRPr="00BD13DF">
        <w:t xml:space="preserve"> y no se les </w:t>
      </w:r>
      <w:r w:rsidR="00E516E7" w:rsidRPr="00BD13DF">
        <w:t>daría</w:t>
      </w:r>
      <w:r w:rsidR="0065264B" w:rsidRPr="00BD13DF">
        <w:t xml:space="preserve"> la oportunidad de repararlos. </w:t>
      </w:r>
      <w:r>
        <w:t>T</w:t>
      </w:r>
      <w:r w:rsidR="0065264B" w:rsidRPr="00BD13DF">
        <w:t xml:space="preserve">odos </w:t>
      </w:r>
      <w:r w:rsidR="00E516E7" w:rsidRPr="00BD13DF">
        <w:t>podríamos</w:t>
      </w:r>
      <w:r w:rsidR="0065264B" w:rsidRPr="00BD13DF">
        <w:t xml:space="preserve"> ir a la </w:t>
      </w:r>
      <w:r w:rsidR="00E516E7" w:rsidRPr="00BD13DF">
        <w:t>cárcel</w:t>
      </w:r>
      <w:r w:rsidR="0065264B" w:rsidRPr="00BD13DF">
        <w:t xml:space="preserve"> por generar un impacto ambiental por </w:t>
      </w:r>
      <w:r w:rsidR="00E516E7" w:rsidRPr="00BD13DF">
        <w:t>pequeño</w:t>
      </w:r>
      <w:r w:rsidR="0065264B" w:rsidRPr="00BD13DF">
        <w:t xml:space="preserve"> que sea. Es importante remitir a lo penal a quien genere un </w:t>
      </w:r>
      <w:r w:rsidR="00E516E7" w:rsidRPr="00BD13DF">
        <w:t>daño</w:t>
      </w:r>
      <w:r w:rsidR="0065264B" w:rsidRPr="00BD13DF">
        <w:t xml:space="preserve"> ambiental y no un impacto. La diferencia es que en el “</w:t>
      </w:r>
      <w:r w:rsidR="00E516E7" w:rsidRPr="00BD13DF">
        <w:t>daño</w:t>
      </w:r>
      <w:r w:rsidR="0065264B" w:rsidRPr="00BD13DF">
        <w:t xml:space="preserve">” las condiciones no vuelven a ser las mismas de forma natural para restablecer. </w:t>
      </w:r>
    </w:p>
    <w:p w14:paraId="27812EDF" w14:textId="52E8F8BC" w:rsidR="00C16E1C" w:rsidRDefault="0065264B" w:rsidP="00BD13DF">
      <w:pPr>
        <w:pStyle w:val="NormalWeb"/>
        <w:jc w:val="both"/>
      </w:pPr>
      <w:r w:rsidRPr="00BD13DF">
        <w:t xml:space="preserve">Al negar la posibilidad a los </w:t>
      </w:r>
      <w:r w:rsidR="00E516E7" w:rsidRPr="00BD13DF">
        <w:t>pequeños</w:t>
      </w:r>
      <w:r w:rsidRPr="00BD13DF">
        <w:t xml:space="preserve"> mineros y mineros de subsistencia de desarrollar su actividad, por causar impactos ambientales, se </w:t>
      </w:r>
      <w:r w:rsidR="00E516E7" w:rsidRPr="00BD13DF">
        <w:t>estarían</w:t>
      </w:r>
      <w:r w:rsidRPr="00BD13DF">
        <w:t xml:space="preserve"> perdiendo alrededor de 300.000 empleos y en cambio, todas estas personas </w:t>
      </w:r>
      <w:r w:rsidR="00E516E7" w:rsidRPr="00BD13DF">
        <w:t>irían</w:t>
      </w:r>
      <w:r w:rsidRPr="00BD13DF">
        <w:t xml:space="preserve"> a la </w:t>
      </w:r>
      <w:r w:rsidR="00E516E7" w:rsidRPr="00BD13DF">
        <w:t>cárcel</w:t>
      </w:r>
      <w:r w:rsidRPr="00BD13DF">
        <w:t xml:space="preserve">. </w:t>
      </w:r>
    </w:p>
    <w:p w14:paraId="29936DAA" w14:textId="0BF0F29B" w:rsidR="0065264B" w:rsidRPr="00BD13DF" w:rsidRDefault="00C16E1C" w:rsidP="00BD13DF">
      <w:pPr>
        <w:pStyle w:val="NormalWeb"/>
        <w:jc w:val="both"/>
      </w:pPr>
      <w:r>
        <w:t>Hay</w:t>
      </w:r>
      <w:r w:rsidR="0065264B" w:rsidRPr="00BD13DF">
        <w:t xml:space="preserve"> </w:t>
      </w:r>
      <w:r w:rsidR="00E516E7" w:rsidRPr="00BD13DF">
        <w:t>más</w:t>
      </w:r>
      <w:r w:rsidR="0065264B" w:rsidRPr="00BD13DF">
        <w:t xml:space="preserve"> de 15.000 </w:t>
      </w:r>
      <w:r w:rsidR="00E516E7" w:rsidRPr="00BD13DF">
        <w:t>pequeños</w:t>
      </w:r>
      <w:r w:rsidR="0065264B" w:rsidRPr="00BD13DF">
        <w:t xml:space="preserve"> mineros </w:t>
      </w:r>
      <w:r w:rsidR="003C1BEE">
        <w:t>que esperan entrar a</w:t>
      </w:r>
      <w:r w:rsidR="0065264B" w:rsidRPr="00BD13DF">
        <w:t xml:space="preserve"> la legalidad,</w:t>
      </w:r>
      <w:r w:rsidR="003C1BEE">
        <w:t xml:space="preserve"> y aquí hay una dife</w:t>
      </w:r>
      <w:r w:rsidR="00E516E7">
        <w:t>re</w:t>
      </w:r>
      <w:r w:rsidR="003C1BEE">
        <w:t>ncia práctica enorme. No es lo mismo la minería ilegal, a la minería criminal, tipificar estas actividades no conduciría a una cesación de las actividades</w:t>
      </w:r>
      <w:r w:rsidR="00E516E7">
        <w:t xml:space="preserve"> mineras</w:t>
      </w:r>
      <w:r w:rsidR="003C1BEE">
        <w:t xml:space="preserve"> en tránsito a la legalidad</w:t>
      </w:r>
      <w:r w:rsidR="00E516E7">
        <w:t xml:space="preserve">, sino que las volvería más riesgosas para los mineros que subsisten de este tipo de minería. Aquí es importante aclarar que </w:t>
      </w:r>
      <w:r w:rsidR="0065264B" w:rsidRPr="00BD13DF">
        <w:t>como cualquier actividad productiva genera impactos en el ambiente y ser</w:t>
      </w:r>
      <w:r w:rsidR="00E516E7">
        <w:t>ía</w:t>
      </w:r>
      <w:r w:rsidR="0065264B" w:rsidRPr="00BD13DF">
        <w:t xml:space="preserve"> conduci</w:t>
      </w:r>
      <w:r w:rsidR="00E516E7">
        <w:t>r a estos mineros</w:t>
      </w:r>
      <w:r w:rsidR="0065264B" w:rsidRPr="00BD13DF">
        <w:t xml:space="preserve"> a la </w:t>
      </w:r>
      <w:r w:rsidR="00E516E7" w:rsidRPr="00BD13DF">
        <w:t>cárcel</w:t>
      </w:r>
      <w:r w:rsidR="0065264B" w:rsidRPr="00BD13DF">
        <w:t xml:space="preserve"> como </w:t>
      </w:r>
      <w:r w:rsidR="00E516E7" w:rsidRPr="00BD13DF">
        <w:t>única</w:t>
      </w:r>
      <w:r w:rsidR="0065264B" w:rsidRPr="00BD13DF">
        <w:t xml:space="preserve"> medida. Algunos de los perjudicados </w:t>
      </w:r>
      <w:r w:rsidR="00E516E7" w:rsidRPr="00BD13DF">
        <w:t>serían</w:t>
      </w:r>
      <w:r w:rsidR="0065264B" w:rsidRPr="00BD13DF">
        <w:t xml:space="preserve">: </w:t>
      </w:r>
    </w:p>
    <w:p w14:paraId="17E2DD2A" w14:textId="1BA05561" w:rsidR="0065264B" w:rsidRPr="00BD13DF" w:rsidRDefault="0065264B" w:rsidP="00E516E7">
      <w:pPr>
        <w:pStyle w:val="NormalWeb"/>
        <w:ind w:left="283" w:hanging="283"/>
      </w:pPr>
      <w:r w:rsidRPr="00BD13DF">
        <w:t xml:space="preserve">o 124 </w:t>
      </w:r>
      <w:r w:rsidR="00E516E7">
        <w:t>á</w:t>
      </w:r>
      <w:r w:rsidRPr="00BD13DF">
        <w:t xml:space="preserve">reas de Reserva Especial (ARE) delimitadas y declaradas, en 97 municipios de 21 departamentos. </w:t>
      </w:r>
    </w:p>
    <w:p w14:paraId="754B55E4" w14:textId="4B24AC0E" w:rsidR="0065264B" w:rsidRPr="00BD13DF" w:rsidRDefault="0065264B" w:rsidP="00E516E7">
      <w:pPr>
        <w:pStyle w:val="NormalWeb"/>
        <w:ind w:left="283" w:hanging="283"/>
      </w:pPr>
      <w:r w:rsidRPr="00BD13DF">
        <w:t xml:space="preserve">o 170 Subcontratos de </w:t>
      </w:r>
      <w:r w:rsidR="00E516E7">
        <w:t>f</w:t>
      </w:r>
      <w:r w:rsidR="00E516E7" w:rsidRPr="00BD13DF">
        <w:t>ormalización</w:t>
      </w:r>
      <w:r w:rsidRPr="00BD13DF">
        <w:t xml:space="preserve"> Minera en 40 municipios de 10 departamentos o </w:t>
      </w:r>
      <w:r w:rsidR="00E516E7">
        <w:t>m</w:t>
      </w:r>
      <w:r w:rsidR="00E516E7" w:rsidRPr="00BD13DF">
        <w:t>ás</w:t>
      </w:r>
      <w:r w:rsidRPr="00BD13DF">
        <w:t xml:space="preserve"> de 1.300 solicitudes de </w:t>
      </w:r>
      <w:r w:rsidR="00E516E7" w:rsidRPr="00BD13DF">
        <w:t>legalización</w:t>
      </w:r>
      <w:r w:rsidRPr="00BD13DF">
        <w:t xml:space="preserve"> de </w:t>
      </w:r>
      <w:r w:rsidR="00E516E7" w:rsidRPr="00BD13DF">
        <w:t>minería</w:t>
      </w:r>
      <w:r w:rsidRPr="00BD13DF">
        <w:t xml:space="preserve"> tradicional en 496 municipios de 29 departamentos.</w:t>
      </w:r>
    </w:p>
    <w:p w14:paraId="44147E2B" w14:textId="3BE761B7" w:rsidR="0065264B" w:rsidRPr="00BD13DF" w:rsidRDefault="00E516E7" w:rsidP="00E516E7">
      <w:pPr>
        <w:pStyle w:val="NormalWeb"/>
        <w:numPr>
          <w:ilvl w:val="0"/>
          <w:numId w:val="8"/>
        </w:numPr>
        <w:ind w:left="283" w:hanging="283"/>
      </w:pPr>
      <w:r w:rsidRPr="00BD13DF">
        <w:t>Más</w:t>
      </w:r>
      <w:r w:rsidR="0065264B" w:rsidRPr="00BD13DF">
        <w:t xml:space="preserve"> de 50 contratos de </w:t>
      </w:r>
      <w:r w:rsidRPr="00BD13DF">
        <w:t>operación</w:t>
      </w:r>
      <w:r w:rsidR="0065264B" w:rsidRPr="00BD13DF">
        <w:t xml:space="preserve">, en 5 departamentos. </w:t>
      </w:r>
    </w:p>
    <w:p w14:paraId="67C87157" w14:textId="43213597" w:rsidR="00E516E7" w:rsidRDefault="00E516E7" w:rsidP="00E516E7">
      <w:pPr>
        <w:pStyle w:val="NormalWeb"/>
        <w:jc w:val="both"/>
      </w:pPr>
      <w:r>
        <w:t>Otro inconveniente en el articulado es la falta de claridad</w:t>
      </w:r>
      <w:r w:rsidR="0065264B" w:rsidRPr="00BD13DF">
        <w:t xml:space="preserve"> en la </w:t>
      </w:r>
      <w:r w:rsidRPr="00BD13DF">
        <w:t>descripción</w:t>
      </w:r>
      <w:r w:rsidR="0065264B" w:rsidRPr="00BD13DF">
        <w:t xml:space="preserve"> </w:t>
      </w:r>
      <w:r w:rsidRPr="00BD13DF">
        <w:t>técnica</w:t>
      </w:r>
      <w:r w:rsidR="0065264B" w:rsidRPr="00BD13DF">
        <w:t xml:space="preserve"> de los </w:t>
      </w:r>
      <w:r w:rsidRPr="00BD13DF">
        <w:t>artículos</w:t>
      </w:r>
      <w:r w:rsidR="0065264B" w:rsidRPr="00BD13DF">
        <w:t xml:space="preserve"> lo que genera conflicto e inseguridad </w:t>
      </w:r>
      <w:r w:rsidRPr="00BD13DF">
        <w:t>jurídica</w:t>
      </w:r>
      <w:r w:rsidR="0065264B" w:rsidRPr="00BD13DF">
        <w:t xml:space="preserve"> en su </w:t>
      </w:r>
      <w:r w:rsidRPr="00BD13DF">
        <w:t>aplicación</w:t>
      </w:r>
      <w:r w:rsidR="0065264B" w:rsidRPr="00BD13DF">
        <w:t xml:space="preserve">. </w:t>
      </w:r>
      <w:r>
        <w:t xml:space="preserve"> </w:t>
      </w:r>
      <w:r w:rsidR="0065264B" w:rsidRPr="00BD13DF">
        <w:t xml:space="preserve">La </w:t>
      </w:r>
      <w:r w:rsidRPr="00BD13DF">
        <w:t>ejecución</w:t>
      </w:r>
      <w:r w:rsidR="0065264B" w:rsidRPr="00BD13DF">
        <w:t xml:space="preserve"> de cualquier actividad genera un impacto ambiental, sin embargo, las actividades productivas licenciadas contemplan un plan de manejo o licencia ambiental para la </w:t>
      </w:r>
      <w:r w:rsidRPr="00BD13DF">
        <w:t>remediación</w:t>
      </w:r>
      <w:r w:rsidR="0065264B" w:rsidRPr="00BD13DF">
        <w:t xml:space="preserve"> de </w:t>
      </w:r>
      <w:proofErr w:type="gramStart"/>
      <w:r w:rsidR="0065264B" w:rsidRPr="00BD13DF">
        <w:t>los mismos</w:t>
      </w:r>
      <w:proofErr w:type="gramEnd"/>
      <w:r w:rsidR="0065264B" w:rsidRPr="00BD13DF">
        <w:t xml:space="preserve">. </w:t>
      </w:r>
    </w:p>
    <w:p w14:paraId="28E19E40" w14:textId="7148C65A" w:rsidR="0065264B" w:rsidRPr="00BD13DF" w:rsidRDefault="0065264B" w:rsidP="00E516E7">
      <w:pPr>
        <w:pStyle w:val="NormalWeb"/>
        <w:jc w:val="both"/>
      </w:pPr>
      <w:r w:rsidRPr="00BD13DF">
        <w:t xml:space="preserve">Para el delito de </w:t>
      </w:r>
      <w:r w:rsidR="00E516E7" w:rsidRPr="00BD13DF">
        <w:t>explotación</w:t>
      </w:r>
      <w:r w:rsidRPr="00BD13DF">
        <w:t xml:space="preserve"> </w:t>
      </w:r>
      <w:r w:rsidR="00E516E7" w:rsidRPr="00BD13DF">
        <w:t>ilícita</w:t>
      </w:r>
      <w:r w:rsidRPr="00BD13DF">
        <w:t xml:space="preserve"> de minerales, busca tipificar el delito, a quien desarrolle la </w:t>
      </w:r>
      <w:r w:rsidR="00E516E7" w:rsidRPr="00BD13DF">
        <w:t>explotación</w:t>
      </w:r>
      <w:r w:rsidRPr="00BD13DF">
        <w:t xml:space="preserve"> sin el permiso de la autoridad competente, sin la necesidad de demostrar grave </w:t>
      </w:r>
      <w:r w:rsidR="00E516E7" w:rsidRPr="00BD13DF">
        <w:t>daño</w:t>
      </w:r>
      <w:r w:rsidRPr="00BD13DF">
        <w:t xml:space="preserve">, pero contempla como agravante que se genere impacto ambiental, </w:t>
      </w:r>
      <w:r w:rsidR="00E516E7" w:rsidRPr="00BD13DF">
        <w:t>además</w:t>
      </w:r>
      <w:r w:rsidRPr="00BD13DF">
        <w:t xml:space="preserve">: </w:t>
      </w:r>
    </w:p>
    <w:p w14:paraId="7280C6E7" w14:textId="29720D9A" w:rsidR="0065264B" w:rsidRPr="00BD13DF" w:rsidRDefault="0065264B" w:rsidP="00111944">
      <w:pPr>
        <w:pStyle w:val="NormalWeb"/>
        <w:ind w:left="283" w:hanging="283"/>
        <w:jc w:val="both"/>
      </w:pPr>
      <w:r w:rsidRPr="00BD13DF">
        <w:t>o No tipifica la cadena de suministros, uso de mercurio, el beneficio, transporte ni la</w:t>
      </w:r>
      <w:r w:rsidR="00111944">
        <w:t xml:space="preserve"> </w:t>
      </w:r>
      <w:r w:rsidR="00111944" w:rsidRPr="00BD13DF">
        <w:t>comercialización</w:t>
      </w:r>
      <w:r w:rsidRPr="00BD13DF">
        <w:t xml:space="preserve">. </w:t>
      </w:r>
    </w:p>
    <w:p w14:paraId="515B7AF6" w14:textId="775FE779" w:rsidR="0065264B" w:rsidRPr="00BD13DF" w:rsidRDefault="0065264B" w:rsidP="00111944">
      <w:pPr>
        <w:pStyle w:val="NormalWeb"/>
        <w:ind w:left="283" w:hanging="283"/>
        <w:jc w:val="both"/>
      </w:pPr>
      <w:r w:rsidRPr="00BD13DF">
        <w:t>o No involucra los delitos ambientales como delitos fuentes de lavado de activos. o No</w:t>
      </w:r>
      <w:r w:rsidR="00111944">
        <w:t xml:space="preserve"> </w:t>
      </w:r>
      <w:r w:rsidRPr="00BD13DF">
        <w:t xml:space="preserve">tiene agravantes en </w:t>
      </w:r>
      <w:r w:rsidR="00111944" w:rsidRPr="00BD13DF">
        <w:t>explotación</w:t>
      </w:r>
      <w:r w:rsidRPr="00BD13DF">
        <w:t xml:space="preserve"> </w:t>
      </w:r>
      <w:r w:rsidR="00111944" w:rsidRPr="00BD13DF">
        <w:t>ilícita</w:t>
      </w:r>
      <w:r w:rsidRPr="00BD13DF">
        <w:t xml:space="preserve"> como financiamiento de terrorismo. o No contempla medidas restaurativas </w:t>
      </w:r>
    </w:p>
    <w:p w14:paraId="3D8910B3" w14:textId="47D3577E" w:rsidR="0065264B" w:rsidRPr="00BD13DF" w:rsidRDefault="0065264B" w:rsidP="00111944">
      <w:pPr>
        <w:pStyle w:val="NormalWeb"/>
        <w:jc w:val="both"/>
      </w:pPr>
      <w:r w:rsidRPr="00BD13DF">
        <w:t xml:space="preserve">Al referirse a </w:t>
      </w:r>
      <w:r w:rsidR="00111944">
        <w:t>a</w:t>
      </w:r>
      <w:r w:rsidR="00111944" w:rsidRPr="00BD13DF">
        <w:t>lteración</w:t>
      </w:r>
      <w:r w:rsidRPr="00BD13DF">
        <w:t xml:space="preserve"> del paisaje, sin permiso, es necesario precisar que en el desarrollo de algunos proyectos mineros se altera el paisaje, y no existe un permiso </w:t>
      </w:r>
      <w:r w:rsidR="00111944" w:rsidRPr="00BD13DF">
        <w:t>específico</w:t>
      </w:r>
      <w:r w:rsidRPr="00BD13DF">
        <w:t xml:space="preserve"> para tal, pero sí es una consecuencia mitigable dentro del licenciamiento. </w:t>
      </w:r>
    </w:p>
    <w:p w14:paraId="4D24D723" w14:textId="1F5199F6" w:rsidR="0065264B" w:rsidRPr="00111944" w:rsidRDefault="00111944" w:rsidP="00111944">
      <w:pPr>
        <w:pStyle w:val="NormalWeb"/>
        <w:jc w:val="both"/>
      </w:pPr>
      <w:r>
        <w:t>E</w:t>
      </w:r>
      <w:r w:rsidR="0065264B" w:rsidRPr="00BD13DF">
        <w:t xml:space="preserve">l </w:t>
      </w:r>
      <w:r>
        <w:t>proyecto e</w:t>
      </w:r>
      <w:r w:rsidR="0065264B" w:rsidRPr="00BD13DF">
        <w:t xml:space="preserve">limina el </w:t>
      </w:r>
      <w:r w:rsidRPr="00BD13DF">
        <w:t>artículo</w:t>
      </w:r>
      <w:r w:rsidR="0065264B" w:rsidRPr="00BD13DF">
        <w:t xml:space="preserve"> de </w:t>
      </w:r>
      <w:r>
        <w:t>v</w:t>
      </w:r>
      <w:r w:rsidRPr="00BD13DF">
        <w:t>iolación</w:t>
      </w:r>
      <w:r w:rsidR="0065264B" w:rsidRPr="00BD13DF">
        <w:t xml:space="preserve"> de fronteras para la </w:t>
      </w:r>
      <w:r w:rsidRPr="00BD13DF">
        <w:t>explotación</w:t>
      </w:r>
      <w:r w:rsidR="0065264B" w:rsidRPr="00BD13DF">
        <w:t xml:space="preserve"> o aprovechamiento de los recursos naturales. Es importante conservarlo, pues existen muchos extranjeros que se benefician de las riquezas del Estado sin contribuir al desarrollo y cumplimiento de las acciones sostenibles del </w:t>
      </w:r>
      <w:r w:rsidRPr="00BD13DF">
        <w:t>país</w:t>
      </w:r>
      <w:r w:rsidR="0065264B" w:rsidRPr="00BD13DF">
        <w:t>.</w:t>
      </w:r>
    </w:p>
    <w:p w14:paraId="4C4B01BF" w14:textId="2DFB3C50" w:rsidR="0065264B" w:rsidRPr="00BD13DF" w:rsidRDefault="00317581" w:rsidP="00111944">
      <w:pPr>
        <w:spacing w:line="240" w:lineRule="auto"/>
        <w:jc w:val="both"/>
        <w:rPr>
          <w:rFonts w:ascii="Times New Roman" w:hAnsi="Times New Roman" w:cs="Times New Roman"/>
          <w:b/>
          <w:bCs/>
          <w:sz w:val="24"/>
          <w:szCs w:val="24"/>
        </w:rPr>
      </w:pPr>
      <w:r w:rsidRPr="00BD13DF">
        <w:rPr>
          <w:rFonts w:ascii="Times New Roman" w:hAnsi="Times New Roman" w:cs="Times New Roman"/>
          <w:b/>
          <w:bCs/>
          <w:sz w:val="24"/>
          <w:szCs w:val="24"/>
        </w:rPr>
        <w:t>AFECTACIÓN SECTOR HIDROCARBUROS</w:t>
      </w:r>
    </w:p>
    <w:p w14:paraId="40E8080A" w14:textId="7AC9BDA2"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sz w:val="24"/>
          <w:szCs w:val="24"/>
        </w:rPr>
        <w:t xml:space="preserve">El sector de hidrocarburos es uno de los motores de crecimiento de la economía </w:t>
      </w:r>
      <w:r w:rsidR="00111944">
        <w:rPr>
          <w:rFonts w:ascii="Times New Roman" w:hAnsi="Times New Roman" w:cs="Times New Roman"/>
          <w:sz w:val="24"/>
          <w:szCs w:val="24"/>
        </w:rPr>
        <w:t>c</w:t>
      </w:r>
      <w:r w:rsidRPr="00BD13DF">
        <w:rPr>
          <w:rFonts w:ascii="Times New Roman" w:hAnsi="Times New Roman" w:cs="Times New Roman"/>
          <w:sz w:val="24"/>
          <w:szCs w:val="24"/>
        </w:rPr>
        <w:t xml:space="preserve">olombiana, al atraer inversión extranjera directa, genera regalías, impuestos y contraprestaciones económicas a favor de la Nación, recursos que son necesarios para la reducción de la pobreza y el desarrollo territorial. </w:t>
      </w:r>
    </w:p>
    <w:p w14:paraId="4B4E5FE4" w14:textId="77777777"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sz w:val="24"/>
          <w:szCs w:val="24"/>
        </w:rPr>
        <w:t xml:space="preserve">La importancia del sector de hidrocarburos se refleja en las principales variables macroeconómicas. Para 2019, el PIB del sector ascendió a $43 billones de pesos el cual equivale alrededor del 5% del total, en materia ingresos tributarios al Gobierno Nacional Central el aporte fue de 16 billones de pesos, en cuanto a regalías fue de $ 6,5 billones; exportaciones por 16 billones de dólares FOB, equivalentes al 40 % del total de exportaciones del país, y representó el 20% de la EID. </w:t>
      </w:r>
    </w:p>
    <w:p w14:paraId="51901309" w14:textId="77777777"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sz w:val="24"/>
          <w:szCs w:val="24"/>
        </w:rPr>
        <w:t>A pesar de la importancia que representa este sector para el país, actualmente se cuentan con unas reservas limitadas, tanto en materia de crudo como de gas. En los últimos años se ha observado una recuperación en las reservas de crudo las cuales para 2019 se ubicaron en 2.036 Millones de barriles (gráfico 1), lo cual nos brinda una autosuficiencia de 6,3 años. En materia de gas la tendencia ha sido opuesta, ya que en los últimos 3 años las reservas han bajado 0,8 TPC, lo cual equivale a una reducción de alrededor de 4 años de autosuficiencia.</w:t>
      </w:r>
    </w:p>
    <w:p w14:paraId="1F372BF2" w14:textId="77777777" w:rsidR="009E3054" w:rsidRPr="00BD13DF" w:rsidRDefault="009E3054" w:rsidP="00C72BD3">
      <w:pPr>
        <w:spacing w:line="240" w:lineRule="auto"/>
        <w:jc w:val="center"/>
        <w:rPr>
          <w:rFonts w:ascii="Times New Roman" w:hAnsi="Times New Roman" w:cs="Times New Roman"/>
          <w:sz w:val="24"/>
          <w:szCs w:val="24"/>
        </w:rPr>
      </w:pPr>
    </w:p>
    <w:p w14:paraId="12B92AD7" w14:textId="71CABE96" w:rsidR="009E3054" w:rsidRPr="00BD13DF" w:rsidRDefault="009E3054" w:rsidP="00C72BD3">
      <w:pPr>
        <w:spacing w:line="240" w:lineRule="auto"/>
        <w:jc w:val="center"/>
        <w:rPr>
          <w:rFonts w:ascii="Times New Roman" w:hAnsi="Times New Roman" w:cs="Times New Roman"/>
          <w:b/>
          <w:sz w:val="24"/>
          <w:szCs w:val="24"/>
        </w:rPr>
      </w:pPr>
      <w:proofErr w:type="spellStart"/>
      <w:r w:rsidRPr="00BD13DF">
        <w:rPr>
          <w:rFonts w:ascii="Times New Roman" w:hAnsi="Times New Roman" w:cs="Times New Roman"/>
          <w:b/>
          <w:sz w:val="24"/>
          <w:szCs w:val="24"/>
        </w:rPr>
        <w:t>Grafico</w:t>
      </w:r>
      <w:proofErr w:type="spellEnd"/>
      <w:r w:rsidRPr="00BD13DF">
        <w:rPr>
          <w:rFonts w:ascii="Times New Roman" w:hAnsi="Times New Roman" w:cs="Times New Roman"/>
          <w:b/>
          <w:sz w:val="24"/>
          <w:szCs w:val="24"/>
        </w:rPr>
        <w:t xml:space="preserve"> 1. Reservas hidrocarburos</w:t>
      </w:r>
    </w:p>
    <w:p w14:paraId="64AD2E67" w14:textId="77777777" w:rsidR="009E3054" w:rsidRPr="00BD13DF" w:rsidRDefault="009E3054" w:rsidP="00C72BD3">
      <w:pPr>
        <w:spacing w:line="240" w:lineRule="auto"/>
        <w:ind w:left="-1134" w:right="-801"/>
        <w:jc w:val="both"/>
        <w:rPr>
          <w:rFonts w:ascii="Times New Roman" w:hAnsi="Times New Roman" w:cs="Times New Roman"/>
          <w:sz w:val="24"/>
          <w:szCs w:val="24"/>
        </w:rPr>
      </w:pPr>
      <w:r w:rsidRPr="00BD13DF">
        <w:rPr>
          <w:rFonts w:ascii="Times New Roman" w:hAnsi="Times New Roman" w:cs="Times New Roman"/>
          <w:noProof/>
          <w:sz w:val="24"/>
          <w:szCs w:val="24"/>
          <w:lang w:eastAsia="es-CO"/>
        </w:rPr>
        <w:drawing>
          <wp:inline distT="0" distB="0" distL="0" distR="0" wp14:anchorId="2BC1D988" wp14:editId="46C2FDE3">
            <wp:extent cx="3257973" cy="1903306"/>
            <wp:effectExtent l="0" t="0" r="0" b="1905"/>
            <wp:docPr id="1" name="Gráfico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BD13DF">
        <w:rPr>
          <w:rFonts w:ascii="Times New Roman" w:hAnsi="Times New Roman" w:cs="Times New Roman"/>
          <w:noProof/>
          <w:sz w:val="24"/>
          <w:szCs w:val="24"/>
          <w:lang w:eastAsia="es-CO"/>
        </w:rPr>
        <w:drawing>
          <wp:inline distT="0" distB="0" distL="0" distR="0" wp14:anchorId="4192D23E" wp14:editId="38987A21">
            <wp:extent cx="3406987" cy="1936961"/>
            <wp:effectExtent l="0" t="0" r="3175" b="0"/>
            <wp:docPr id="2" name="Gráfico 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2DA1D60" w14:textId="77777777" w:rsidR="009E3054" w:rsidRPr="00BD13DF" w:rsidRDefault="009E3054" w:rsidP="00C72BD3">
      <w:pPr>
        <w:spacing w:line="240" w:lineRule="auto"/>
        <w:rPr>
          <w:rFonts w:ascii="Times New Roman" w:hAnsi="Times New Roman" w:cs="Times New Roman"/>
          <w:sz w:val="24"/>
          <w:szCs w:val="24"/>
        </w:rPr>
      </w:pPr>
      <w:r w:rsidRPr="00BD13DF">
        <w:rPr>
          <w:rFonts w:ascii="Times New Roman" w:hAnsi="Times New Roman" w:cs="Times New Roman"/>
          <w:sz w:val="24"/>
          <w:szCs w:val="24"/>
        </w:rPr>
        <w:t>Fuente: ANH</w:t>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t>Fuente: ANH</w:t>
      </w:r>
    </w:p>
    <w:p w14:paraId="59FE52D5" w14:textId="77777777" w:rsidR="00111944" w:rsidRDefault="00111944" w:rsidP="00C72BD3">
      <w:pPr>
        <w:spacing w:line="240" w:lineRule="auto"/>
        <w:jc w:val="both"/>
        <w:rPr>
          <w:rFonts w:ascii="Times New Roman" w:hAnsi="Times New Roman" w:cs="Times New Roman"/>
          <w:sz w:val="24"/>
          <w:szCs w:val="24"/>
        </w:rPr>
      </w:pPr>
    </w:p>
    <w:p w14:paraId="3D16B967" w14:textId="7849EEE7" w:rsidR="009E3054" w:rsidRPr="00BD13DF" w:rsidRDefault="00111944" w:rsidP="00C72BD3">
      <w:pPr>
        <w:spacing w:line="240" w:lineRule="auto"/>
        <w:jc w:val="both"/>
        <w:rPr>
          <w:rFonts w:ascii="Times New Roman" w:hAnsi="Times New Roman" w:cs="Times New Roman"/>
          <w:sz w:val="24"/>
          <w:szCs w:val="24"/>
        </w:rPr>
      </w:pPr>
      <w:r>
        <w:rPr>
          <w:rFonts w:ascii="Times New Roman" w:hAnsi="Times New Roman" w:cs="Times New Roman"/>
          <w:sz w:val="24"/>
          <w:szCs w:val="24"/>
        </w:rPr>
        <w:t>El</w:t>
      </w:r>
      <w:r w:rsidR="009E3054" w:rsidRPr="00BD13DF">
        <w:rPr>
          <w:rFonts w:ascii="Times New Roman" w:hAnsi="Times New Roman" w:cs="Times New Roman"/>
          <w:sz w:val="24"/>
          <w:szCs w:val="24"/>
        </w:rPr>
        <w:t xml:space="preserve"> Gobierno Nacional </w:t>
      </w:r>
      <w:r>
        <w:rPr>
          <w:rFonts w:ascii="Times New Roman" w:hAnsi="Times New Roman" w:cs="Times New Roman"/>
          <w:sz w:val="24"/>
          <w:szCs w:val="24"/>
        </w:rPr>
        <w:t>h</w:t>
      </w:r>
      <w:r w:rsidR="009E3054" w:rsidRPr="00BD13DF">
        <w:rPr>
          <w:rFonts w:ascii="Times New Roman" w:hAnsi="Times New Roman" w:cs="Times New Roman"/>
          <w:sz w:val="24"/>
          <w:szCs w:val="24"/>
        </w:rPr>
        <w:t>a defin</w:t>
      </w:r>
      <w:r>
        <w:rPr>
          <w:rFonts w:ascii="Times New Roman" w:hAnsi="Times New Roman" w:cs="Times New Roman"/>
          <w:sz w:val="24"/>
          <w:szCs w:val="24"/>
        </w:rPr>
        <w:t>ido</w:t>
      </w:r>
      <w:r w:rsidR="009E3054" w:rsidRPr="00BD13DF">
        <w:rPr>
          <w:rFonts w:ascii="Times New Roman" w:hAnsi="Times New Roman" w:cs="Times New Roman"/>
          <w:sz w:val="24"/>
          <w:szCs w:val="24"/>
        </w:rPr>
        <w:t xml:space="preserve"> unas estrategias que permitan garantizar la autosuficiencia </w:t>
      </w:r>
      <w:proofErr w:type="spellStart"/>
      <w:r w:rsidR="009E3054" w:rsidRPr="00BD13DF">
        <w:rPr>
          <w:rFonts w:ascii="Times New Roman" w:hAnsi="Times New Roman" w:cs="Times New Roman"/>
          <w:sz w:val="24"/>
          <w:szCs w:val="24"/>
        </w:rPr>
        <w:t>hidrocarburifera</w:t>
      </w:r>
      <w:proofErr w:type="spellEnd"/>
      <w:r w:rsidR="009E3054" w:rsidRPr="00BD13DF">
        <w:rPr>
          <w:rFonts w:ascii="Times New Roman" w:hAnsi="Times New Roman" w:cs="Times New Roman"/>
          <w:sz w:val="24"/>
          <w:szCs w:val="24"/>
        </w:rPr>
        <w:t xml:space="preserve"> del país en el mediano y largo plazo. Entre ellas e</w:t>
      </w:r>
      <w:r>
        <w:rPr>
          <w:rFonts w:ascii="Times New Roman" w:hAnsi="Times New Roman" w:cs="Times New Roman"/>
          <w:sz w:val="24"/>
          <w:szCs w:val="24"/>
        </w:rPr>
        <w:t>stá</w:t>
      </w:r>
      <w:r w:rsidR="009E3054" w:rsidRPr="00BD13DF">
        <w:rPr>
          <w:rFonts w:ascii="Times New Roman" w:hAnsi="Times New Roman" w:cs="Times New Roman"/>
          <w:sz w:val="24"/>
          <w:szCs w:val="24"/>
        </w:rPr>
        <w:t xml:space="preserve"> el desarrollo de los hidrocarburos en yacimientos no convencionales el cual tiene un alto potencial de hidrocarburos. La Agencia Nacional de Hidrocarburos ha definido que</w:t>
      </w:r>
      <w:r>
        <w:rPr>
          <w:rFonts w:ascii="Times New Roman" w:hAnsi="Times New Roman" w:cs="Times New Roman"/>
          <w:sz w:val="24"/>
          <w:szCs w:val="24"/>
        </w:rPr>
        <w:t>,</w:t>
      </w:r>
      <w:r w:rsidR="009E3054" w:rsidRPr="00BD13DF">
        <w:rPr>
          <w:rFonts w:ascii="Times New Roman" w:hAnsi="Times New Roman" w:cs="Times New Roman"/>
          <w:sz w:val="24"/>
          <w:szCs w:val="24"/>
        </w:rPr>
        <w:t xml:space="preserve"> de las 23 cuencas sedimentarias del país, 5 de ellas tienen un alto potencial para YNC las cuales son el i) Valle Medio del Magdalena, </w:t>
      </w:r>
      <w:proofErr w:type="spellStart"/>
      <w:r w:rsidR="009E3054" w:rsidRPr="00BD13DF">
        <w:rPr>
          <w:rFonts w:ascii="Times New Roman" w:hAnsi="Times New Roman" w:cs="Times New Roman"/>
          <w:sz w:val="24"/>
          <w:szCs w:val="24"/>
        </w:rPr>
        <w:t>ii</w:t>
      </w:r>
      <w:proofErr w:type="spellEnd"/>
      <w:r w:rsidR="009E3054" w:rsidRPr="00BD13DF">
        <w:rPr>
          <w:rFonts w:ascii="Times New Roman" w:hAnsi="Times New Roman" w:cs="Times New Roman"/>
          <w:sz w:val="24"/>
          <w:szCs w:val="24"/>
        </w:rPr>
        <w:t xml:space="preserve">) Cesar-Ranchería, </w:t>
      </w:r>
      <w:proofErr w:type="spellStart"/>
      <w:r w:rsidR="009E3054" w:rsidRPr="00BD13DF">
        <w:rPr>
          <w:rFonts w:ascii="Times New Roman" w:hAnsi="Times New Roman" w:cs="Times New Roman"/>
          <w:sz w:val="24"/>
          <w:szCs w:val="24"/>
        </w:rPr>
        <w:t>iii</w:t>
      </w:r>
      <w:proofErr w:type="spellEnd"/>
      <w:r w:rsidR="009E3054" w:rsidRPr="00BD13DF">
        <w:rPr>
          <w:rFonts w:ascii="Times New Roman" w:hAnsi="Times New Roman" w:cs="Times New Roman"/>
          <w:sz w:val="24"/>
          <w:szCs w:val="24"/>
        </w:rPr>
        <w:t xml:space="preserve">) Cordillera Oriental, </w:t>
      </w:r>
      <w:proofErr w:type="spellStart"/>
      <w:r w:rsidR="009E3054" w:rsidRPr="00BD13DF">
        <w:rPr>
          <w:rFonts w:ascii="Times New Roman" w:hAnsi="Times New Roman" w:cs="Times New Roman"/>
          <w:sz w:val="24"/>
          <w:szCs w:val="24"/>
        </w:rPr>
        <w:t>iv</w:t>
      </w:r>
      <w:proofErr w:type="spellEnd"/>
      <w:r w:rsidR="009E3054" w:rsidRPr="00BD13DF">
        <w:rPr>
          <w:rFonts w:ascii="Times New Roman" w:hAnsi="Times New Roman" w:cs="Times New Roman"/>
          <w:sz w:val="24"/>
          <w:szCs w:val="24"/>
        </w:rPr>
        <w:t xml:space="preserve">) Catatumbo y v) Valle Superior del Magdalena. </w:t>
      </w:r>
    </w:p>
    <w:p w14:paraId="2BD373EB" w14:textId="2C2E6030"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sz w:val="24"/>
          <w:szCs w:val="24"/>
        </w:rPr>
        <w:t xml:space="preserve">Los resultados del estimado </w:t>
      </w:r>
      <w:proofErr w:type="spellStart"/>
      <w:r w:rsidRPr="00BD13DF">
        <w:rPr>
          <w:rFonts w:ascii="Times New Roman" w:hAnsi="Times New Roman" w:cs="Times New Roman"/>
          <w:sz w:val="24"/>
          <w:szCs w:val="24"/>
        </w:rPr>
        <w:t>yet</w:t>
      </w:r>
      <w:proofErr w:type="spellEnd"/>
      <w:r w:rsidRPr="00BD13DF">
        <w:rPr>
          <w:rFonts w:ascii="Times New Roman" w:hAnsi="Times New Roman" w:cs="Times New Roman"/>
          <w:sz w:val="24"/>
          <w:szCs w:val="24"/>
        </w:rPr>
        <w:t xml:space="preserve"> </w:t>
      </w:r>
      <w:proofErr w:type="spellStart"/>
      <w:r w:rsidRPr="00BD13DF">
        <w:rPr>
          <w:rFonts w:ascii="Times New Roman" w:hAnsi="Times New Roman" w:cs="Times New Roman"/>
          <w:sz w:val="24"/>
          <w:szCs w:val="24"/>
        </w:rPr>
        <w:t>to</w:t>
      </w:r>
      <w:proofErr w:type="spellEnd"/>
      <w:r w:rsidRPr="00BD13DF">
        <w:rPr>
          <w:rFonts w:ascii="Times New Roman" w:hAnsi="Times New Roman" w:cs="Times New Roman"/>
          <w:sz w:val="24"/>
          <w:szCs w:val="24"/>
        </w:rPr>
        <w:t xml:space="preserve"> </w:t>
      </w:r>
      <w:proofErr w:type="spellStart"/>
      <w:r w:rsidRPr="00BD13DF">
        <w:rPr>
          <w:rFonts w:ascii="Times New Roman" w:hAnsi="Times New Roman" w:cs="Times New Roman"/>
          <w:sz w:val="24"/>
          <w:szCs w:val="24"/>
        </w:rPr>
        <w:t>find</w:t>
      </w:r>
      <w:proofErr w:type="spellEnd"/>
      <w:r w:rsidRPr="00BD13DF">
        <w:rPr>
          <w:rFonts w:ascii="Times New Roman" w:hAnsi="Times New Roman" w:cs="Times New Roman"/>
          <w:sz w:val="24"/>
          <w:szCs w:val="24"/>
        </w:rPr>
        <w:t xml:space="preserve"> para el crudo en la cuenca del Valle Medio del Magdalena es de 4.573 Millones de barriles, siendo esta más importante en Colombia (Grafico 2). La sigue la cuenca Cesar – Ranchería con 2.450 Millones de barriles, la Cuenca Catatumbo con 595 Millones de barriles, la Cuenca Valle Superior del Magdalena con 448 Millones de barriles y por último la cuenca Cordillera Oriental con 168 Millones de barriles.</w:t>
      </w:r>
    </w:p>
    <w:p w14:paraId="0A2CEE6E" w14:textId="77777777" w:rsidR="00C72BD3" w:rsidRPr="00BD13DF" w:rsidRDefault="00C72BD3" w:rsidP="00C72BD3">
      <w:pPr>
        <w:spacing w:line="240" w:lineRule="auto"/>
        <w:jc w:val="both"/>
        <w:rPr>
          <w:rFonts w:ascii="Times New Roman" w:hAnsi="Times New Roman" w:cs="Times New Roman"/>
          <w:sz w:val="24"/>
          <w:szCs w:val="24"/>
        </w:rPr>
      </w:pPr>
    </w:p>
    <w:p w14:paraId="6A12CD7E" w14:textId="77777777" w:rsidR="009E3054" w:rsidRPr="00BD13DF" w:rsidRDefault="009E3054" w:rsidP="00C72BD3">
      <w:pPr>
        <w:spacing w:line="240" w:lineRule="auto"/>
        <w:jc w:val="center"/>
        <w:rPr>
          <w:rFonts w:ascii="Times New Roman" w:hAnsi="Times New Roman" w:cs="Times New Roman"/>
          <w:b/>
          <w:sz w:val="24"/>
          <w:szCs w:val="24"/>
        </w:rPr>
      </w:pPr>
      <w:r w:rsidRPr="00BD13DF">
        <w:rPr>
          <w:rFonts w:ascii="Times New Roman" w:hAnsi="Times New Roman" w:cs="Times New Roman"/>
          <w:b/>
          <w:sz w:val="24"/>
          <w:szCs w:val="24"/>
        </w:rPr>
        <w:t>Gráfico 2. Recursos Prospectivos de Crudo de YNC en Colombia</w:t>
      </w:r>
    </w:p>
    <w:p w14:paraId="4D3506E8" w14:textId="77777777"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noProof/>
          <w:sz w:val="24"/>
          <w:szCs w:val="24"/>
          <w:lang w:eastAsia="es-CO"/>
        </w:rPr>
        <w:drawing>
          <wp:inline distT="0" distB="0" distL="0" distR="0" wp14:anchorId="4C920327" wp14:editId="188FCDBB">
            <wp:extent cx="5981700" cy="2260600"/>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81700" cy="2260600"/>
                    </a:xfrm>
                    <a:prstGeom prst="rect">
                      <a:avLst/>
                    </a:prstGeom>
                  </pic:spPr>
                </pic:pic>
              </a:graphicData>
            </a:graphic>
          </wp:inline>
        </w:drawing>
      </w:r>
    </w:p>
    <w:p w14:paraId="0656D7D0" w14:textId="77777777" w:rsidR="009E3054" w:rsidRPr="00BD13DF" w:rsidRDefault="009E3054" w:rsidP="00C72BD3">
      <w:pPr>
        <w:spacing w:line="240" w:lineRule="auto"/>
        <w:rPr>
          <w:rFonts w:ascii="Times New Roman" w:hAnsi="Times New Roman" w:cs="Times New Roman"/>
          <w:sz w:val="24"/>
          <w:szCs w:val="24"/>
        </w:rPr>
      </w:pPr>
      <w:r w:rsidRPr="00BD13DF">
        <w:rPr>
          <w:rFonts w:ascii="Times New Roman" w:hAnsi="Times New Roman" w:cs="Times New Roman"/>
          <w:sz w:val="24"/>
          <w:szCs w:val="24"/>
        </w:rPr>
        <w:t>Fuente: ANH</w:t>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t>Fuente: ANH</w:t>
      </w:r>
    </w:p>
    <w:p w14:paraId="7DB73B27" w14:textId="475EFE77" w:rsidR="009E3054" w:rsidRPr="00BD13DF" w:rsidRDefault="009E3054" w:rsidP="00C72BD3">
      <w:pPr>
        <w:spacing w:line="240" w:lineRule="auto"/>
        <w:jc w:val="both"/>
        <w:rPr>
          <w:rFonts w:ascii="Times New Roman" w:hAnsi="Times New Roman" w:cs="Times New Roman"/>
          <w:sz w:val="24"/>
          <w:szCs w:val="24"/>
        </w:rPr>
      </w:pPr>
      <w:r w:rsidRPr="00BD13DF">
        <w:rPr>
          <w:rFonts w:ascii="Times New Roman" w:hAnsi="Times New Roman" w:cs="Times New Roman"/>
          <w:sz w:val="24"/>
          <w:szCs w:val="24"/>
        </w:rPr>
        <w:t xml:space="preserve">En cuanto al gas, los resultados del estimado </w:t>
      </w:r>
      <w:proofErr w:type="spellStart"/>
      <w:r w:rsidRPr="00BD13DF">
        <w:rPr>
          <w:rFonts w:ascii="Times New Roman" w:hAnsi="Times New Roman" w:cs="Times New Roman"/>
          <w:sz w:val="24"/>
          <w:szCs w:val="24"/>
        </w:rPr>
        <w:t>yet</w:t>
      </w:r>
      <w:proofErr w:type="spellEnd"/>
      <w:r w:rsidRPr="00BD13DF">
        <w:rPr>
          <w:rFonts w:ascii="Times New Roman" w:hAnsi="Times New Roman" w:cs="Times New Roman"/>
          <w:sz w:val="24"/>
          <w:szCs w:val="24"/>
        </w:rPr>
        <w:t xml:space="preserve"> </w:t>
      </w:r>
      <w:proofErr w:type="spellStart"/>
      <w:r w:rsidRPr="00BD13DF">
        <w:rPr>
          <w:rFonts w:ascii="Times New Roman" w:hAnsi="Times New Roman" w:cs="Times New Roman"/>
          <w:sz w:val="24"/>
          <w:szCs w:val="24"/>
        </w:rPr>
        <w:t>to</w:t>
      </w:r>
      <w:proofErr w:type="spellEnd"/>
      <w:r w:rsidRPr="00BD13DF">
        <w:rPr>
          <w:rFonts w:ascii="Times New Roman" w:hAnsi="Times New Roman" w:cs="Times New Roman"/>
          <w:sz w:val="24"/>
          <w:szCs w:val="24"/>
        </w:rPr>
        <w:t xml:space="preserve"> </w:t>
      </w:r>
      <w:proofErr w:type="spellStart"/>
      <w:r w:rsidRPr="00BD13DF">
        <w:rPr>
          <w:rFonts w:ascii="Times New Roman" w:hAnsi="Times New Roman" w:cs="Times New Roman"/>
          <w:sz w:val="24"/>
          <w:szCs w:val="24"/>
        </w:rPr>
        <w:t>find</w:t>
      </w:r>
      <w:proofErr w:type="spellEnd"/>
      <w:r w:rsidRPr="00BD13DF">
        <w:rPr>
          <w:rFonts w:ascii="Times New Roman" w:hAnsi="Times New Roman" w:cs="Times New Roman"/>
          <w:sz w:val="24"/>
          <w:szCs w:val="24"/>
        </w:rPr>
        <w:t xml:space="preserve"> son aún más importante. Se estima que en la Cuenca Cordillera Oriental cuenta con recursos prospectivos recuperables de 117 </w:t>
      </w:r>
      <w:proofErr w:type="spellStart"/>
      <w:r w:rsidRPr="00BD13DF">
        <w:rPr>
          <w:rFonts w:ascii="Times New Roman" w:hAnsi="Times New Roman" w:cs="Times New Roman"/>
          <w:sz w:val="24"/>
          <w:szCs w:val="24"/>
        </w:rPr>
        <w:t>tcf</w:t>
      </w:r>
      <w:proofErr w:type="spellEnd"/>
      <w:r w:rsidRPr="00BD13DF">
        <w:rPr>
          <w:rFonts w:ascii="Times New Roman" w:hAnsi="Times New Roman" w:cs="Times New Roman"/>
          <w:sz w:val="24"/>
          <w:szCs w:val="24"/>
        </w:rPr>
        <w:t xml:space="preserve"> es la más importante en Colombia (Gráfico 3), seguida de la Cuenca Valle Medio del Magdalena con 29,7 </w:t>
      </w:r>
      <w:proofErr w:type="spellStart"/>
      <w:proofErr w:type="gramStart"/>
      <w:r w:rsidRPr="00BD13DF">
        <w:rPr>
          <w:rFonts w:ascii="Times New Roman" w:hAnsi="Times New Roman" w:cs="Times New Roman"/>
          <w:sz w:val="24"/>
          <w:szCs w:val="24"/>
        </w:rPr>
        <w:t>tcf</w:t>
      </w:r>
      <w:proofErr w:type="spellEnd"/>
      <w:r w:rsidRPr="00BD13DF">
        <w:rPr>
          <w:rFonts w:ascii="Times New Roman" w:hAnsi="Times New Roman" w:cs="Times New Roman"/>
          <w:sz w:val="24"/>
          <w:szCs w:val="24"/>
        </w:rPr>
        <w:t xml:space="preserve"> ,</w:t>
      </w:r>
      <w:proofErr w:type="gramEnd"/>
      <w:r w:rsidRPr="00BD13DF">
        <w:rPr>
          <w:rFonts w:ascii="Times New Roman" w:hAnsi="Times New Roman" w:cs="Times New Roman"/>
          <w:sz w:val="24"/>
          <w:szCs w:val="24"/>
        </w:rPr>
        <w:t xml:space="preserve"> 9,9 </w:t>
      </w:r>
      <w:proofErr w:type="spellStart"/>
      <w:r w:rsidRPr="00BD13DF">
        <w:rPr>
          <w:rFonts w:ascii="Times New Roman" w:hAnsi="Times New Roman" w:cs="Times New Roman"/>
          <w:sz w:val="24"/>
          <w:szCs w:val="24"/>
        </w:rPr>
        <w:t>tcf</w:t>
      </w:r>
      <w:proofErr w:type="spellEnd"/>
      <w:r w:rsidRPr="00BD13DF">
        <w:rPr>
          <w:rFonts w:ascii="Times New Roman" w:hAnsi="Times New Roman" w:cs="Times New Roman"/>
          <w:sz w:val="24"/>
          <w:szCs w:val="24"/>
        </w:rPr>
        <w:t xml:space="preserve"> en la Cuenca Cesar – Ranchería, 7,8 </w:t>
      </w:r>
      <w:proofErr w:type="spellStart"/>
      <w:r w:rsidRPr="00BD13DF">
        <w:rPr>
          <w:rFonts w:ascii="Times New Roman" w:hAnsi="Times New Roman" w:cs="Times New Roman"/>
          <w:sz w:val="24"/>
          <w:szCs w:val="24"/>
        </w:rPr>
        <w:t>tcf</w:t>
      </w:r>
      <w:proofErr w:type="spellEnd"/>
      <w:r w:rsidRPr="00BD13DF">
        <w:rPr>
          <w:rFonts w:ascii="Times New Roman" w:hAnsi="Times New Roman" w:cs="Times New Roman"/>
          <w:sz w:val="24"/>
          <w:szCs w:val="24"/>
        </w:rPr>
        <w:t xml:space="preserve"> en la Cuenca Catatumbo y de 1,7 </w:t>
      </w:r>
      <w:proofErr w:type="spellStart"/>
      <w:r w:rsidRPr="00BD13DF">
        <w:rPr>
          <w:rFonts w:ascii="Times New Roman" w:hAnsi="Times New Roman" w:cs="Times New Roman"/>
          <w:sz w:val="24"/>
          <w:szCs w:val="24"/>
        </w:rPr>
        <w:t>tcf</w:t>
      </w:r>
      <w:proofErr w:type="spellEnd"/>
      <w:r w:rsidRPr="00BD13DF">
        <w:rPr>
          <w:rFonts w:ascii="Times New Roman" w:hAnsi="Times New Roman" w:cs="Times New Roman"/>
          <w:sz w:val="24"/>
          <w:szCs w:val="24"/>
        </w:rPr>
        <w:t xml:space="preserve"> en la cuenca Valle Superior del Magdalena.</w:t>
      </w:r>
    </w:p>
    <w:p w14:paraId="03068524" w14:textId="77777777" w:rsidR="00C72BD3" w:rsidRPr="00BD13DF" w:rsidRDefault="00C72BD3" w:rsidP="00C72BD3">
      <w:pPr>
        <w:spacing w:line="240" w:lineRule="auto"/>
        <w:jc w:val="both"/>
        <w:rPr>
          <w:rFonts w:ascii="Times New Roman" w:hAnsi="Times New Roman" w:cs="Times New Roman"/>
          <w:sz w:val="24"/>
          <w:szCs w:val="24"/>
        </w:rPr>
      </w:pPr>
    </w:p>
    <w:p w14:paraId="3400772F" w14:textId="30A053E5" w:rsidR="009E3054" w:rsidRPr="00BD13DF" w:rsidRDefault="009E3054" w:rsidP="00C72BD3">
      <w:pPr>
        <w:spacing w:line="240" w:lineRule="auto"/>
        <w:jc w:val="center"/>
        <w:rPr>
          <w:rFonts w:ascii="Times New Roman" w:hAnsi="Times New Roman" w:cs="Times New Roman"/>
          <w:b/>
          <w:sz w:val="24"/>
          <w:szCs w:val="24"/>
        </w:rPr>
      </w:pPr>
      <w:r w:rsidRPr="00BD13DF">
        <w:rPr>
          <w:rFonts w:ascii="Times New Roman" w:hAnsi="Times New Roman" w:cs="Times New Roman"/>
          <w:b/>
          <w:sz w:val="24"/>
          <w:szCs w:val="24"/>
        </w:rPr>
        <w:t xml:space="preserve">Gráfico 3. Recursos Prospectivos de Gas para el </w:t>
      </w:r>
      <w:proofErr w:type="spellStart"/>
      <w:r w:rsidRPr="00BD13DF">
        <w:rPr>
          <w:rFonts w:ascii="Times New Roman" w:hAnsi="Times New Roman" w:cs="Times New Roman"/>
          <w:b/>
          <w:sz w:val="24"/>
          <w:szCs w:val="24"/>
        </w:rPr>
        <w:t>play</w:t>
      </w:r>
      <w:proofErr w:type="spellEnd"/>
      <w:r w:rsidRPr="00BD13DF">
        <w:rPr>
          <w:rFonts w:ascii="Times New Roman" w:hAnsi="Times New Roman" w:cs="Times New Roman"/>
          <w:b/>
          <w:sz w:val="24"/>
          <w:szCs w:val="24"/>
        </w:rPr>
        <w:t xml:space="preserve"> YRG en Colombia</w:t>
      </w:r>
    </w:p>
    <w:p w14:paraId="10E91F3E" w14:textId="77777777" w:rsidR="009E3054" w:rsidRPr="00BD13DF" w:rsidRDefault="009E3054" w:rsidP="00C72BD3">
      <w:pPr>
        <w:spacing w:line="240" w:lineRule="auto"/>
        <w:ind w:left="-567" w:right="-660"/>
        <w:jc w:val="both"/>
        <w:rPr>
          <w:rFonts w:ascii="Times New Roman" w:hAnsi="Times New Roman" w:cs="Times New Roman"/>
          <w:sz w:val="24"/>
          <w:szCs w:val="24"/>
        </w:rPr>
      </w:pPr>
      <w:r w:rsidRPr="00BD13DF">
        <w:rPr>
          <w:rFonts w:ascii="Times New Roman" w:hAnsi="Times New Roman" w:cs="Times New Roman"/>
          <w:noProof/>
          <w:sz w:val="24"/>
          <w:szCs w:val="24"/>
          <w:lang w:eastAsia="es-CO"/>
        </w:rPr>
        <w:drawing>
          <wp:inline distT="0" distB="0" distL="0" distR="0" wp14:anchorId="5FD43B40" wp14:editId="1C854EDD">
            <wp:extent cx="6280150" cy="2298700"/>
            <wp:effectExtent l="0" t="0" r="635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05075" cy="2307823"/>
                    </a:xfrm>
                    <a:prstGeom prst="rect">
                      <a:avLst/>
                    </a:prstGeom>
                  </pic:spPr>
                </pic:pic>
              </a:graphicData>
            </a:graphic>
          </wp:inline>
        </w:drawing>
      </w:r>
    </w:p>
    <w:p w14:paraId="5A6046D8" w14:textId="77777777" w:rsidR="009E3054" w:rsidRPr="00BD13DF" w:rsidRDefault="009E3054" w:rsidP="00C72BD3">
      <w:pPr>
        <w:spacing w:line="240" w:lineRule="auto"/>
        <w:rPr>
          <w:rFonts w:ascii="Times New Roman" w:hAnsi="Times New Roman" w:cs="Times New Roman"/>
          <w:sz w:val="24"/>
          <w:szCs w:val="24"/>
        </w:rPr>
      </w:pPr>
      <w:r w:rsidRPr="00BD13DF">
        <w:rPr>
          <w:rFonts w:ascii="Times New Roman" w:hAnsi="Times New Roman" w:cs="Times New Roman"/>
          <w:sz w:val="24"/>
          <w:szCs w:val="24"/>
        </w:rPr>
        <w:t>Fuente: ANH</w:t>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r>
      <w:r w:rsidRPr="00BD13DF">
        <w:rPr>
          <w:rFonts w:ascii="Times New Roman" w:hAnsi="Times New Roman" w:cs="Times New Roman"/>
          <w:sz w:val="24"/>
          <w:szCs w:val="24"/>
        </w:rPr>
        <w:tab/>
        <w:t>Fuente: ANH</w:t>
      </w:r>
    </w:p>
    <w:p w14:paraId="3A8AA496" w14:textId="77777777" w:rsidR="009E3054" w:rsidRPr="00BD13DF" w:rsidRDefault="009E3054" w:rsidP="00C72BD3">
      <w:pPr>
        <w:spacing w:line="240" w:lineRule="auto"/>
        <w:jc w:val="center"/>
        <w:rPr>
          <w:rFonts w:ascii="Times New Roman" w:hAnsi="Times New Roman" w:cs="Times New Roman"/>
          <w:sz w:val="24"/>
          <w:szCs w:val="24"/>
        </w:rPr>
      </w:pPr>
    </w:p>
    <w:p w14:paraId="73D8D958" w14:textId="0B115159" w:rsidR="009E3054" w:rsidRPr="00BD13DF" w:rsidRDefault="009E3054" w:rsidP="00C72BD3">
      <w:pPr>
        <w:spacing w:line="240" w:lineRule="auto"/>
        <w:contextualSpacing/>
        <w:jc w:val="both"/>
        <w:rPr>
          <w:rFonts w:ascii="Times New Roman" w:hAnsi="Times New Roman" w:cs="Times New Roman"/>
          <w:sz w:val="24"/>
          <w:szCs w:val="24"/>
        </w:rPr>
      </w:pPr>
      <w:r w:rsidRPr="00BD13DF">
        <w:rPr>
          <w:rFonts w:ascii="Times New Roman" w:hAnsi="Times New Roman" w:cs="Times New Roman"/>
          <w:sz w:val="24"/>
          <w:szCs w:val="24"/>
        </w:rPr>
        <w:t xml:space="preserve">Para definir si es posible desarrollar esto yacimientos, </w:t>
      </w:r>
      <w:r w:rsidR="00111944">
        <w:rPr>
          <w:rFonts w:ascii="Times New Roman" w:hAnsi="Times New Roman" w:cs="Times New Roman"/>
          <w:sz w:val="24"/>
          <w:szCs w:val="24"/>
        </w:rPr>
        <w:t>se</w:t>
      </w:r>
      <w:r w:rsidRPr="00BD13DF">
        <w:rPr>
          <w:rFonts w:ascii="Times New Roman" w:hAnsi="Times New Roman" w:cs="Times New Roman"/>
          <w:sz w:val="24"/>
          <w:szCs w:val="24"/>
        </w:rPr>
        <w:t xml:space="preserve"> ha propuesto el desarrollo de los </w:t>
      </w:r>
      <w:proofErr w:type="gramStart"/>
      <w:r w:rsidRPr="00BD13DF">
        <w:rPr>
          <w:rFonts w:ascii="Times New Roman" w:hAnsi="Times New Roman" w:cs="Times New Roman"/>
          <w:sz w:val="24"/>
          <w:szCs w:val="24"/>
        </w:rPr>
        <w:t>Proyectos</w:t>
      </w:r>
      <w:r w:rsidR="00321131">
        <w:rPr>
          <w:rFonts w:ascii="Times New Roman" w:hAnsi="Times New Roman" w:cs="Times New Roman"/>
          <w:sz w:val="24"/>
          <w:szCs w:val="24"/>
        </w:rPr>
        <w:t xml:space="preserve"> </w:t>
      </w:r>
      <w:r w:rsidRPr="00BD13DF">
        <w:rPr>
          <w:rFonts w:ascii="Times New Roman" w:hAnsi="Times New Roman" w:cs="Times New Roman"/>
          <w:sz w:val="24"/>
          <w:szCs w:val="24"/>
        </w:rPr>
        <w:t>Pilotos</w:t>
      </w:r>
      <w:proofErr w:type="gramEnd"/>
      <w:r w:rsidRPr="00BD13DF">
        <w:rPr>
          <w:rFonts w:ascii="Times New Roman" w:hAnsi="Times New Roman" w:cs="Times New Roman"/>
          <w:sz w:val="24"/>
          <w:szCs w:val="24"/>
        </w:rPr>
        <w:t xml:space="preserve"> de Investigación Integral-PPII, los cuales permitirán establecer si la regulación y la capacidad institucional que se ha venido desarrollando el país es lo suficientemente robusta para permitir la aplicación de esta técnica de una manera adecuada y sostenible con el medio ambiente. Si estos PPII son aprobados por el comité evaluador se pasará a una fase de exploración y producción comercial de los YNC en el cual se verán los beneficios de esta actividad. De aprobar el PL 328 no sería posible que el país se beneficiara de estos recursos. Análisis al respecto señalan que:</w:t>
      </w:r>
    </w:p>
    <w:p w14:paraId="6116F06A" w14:textId="77777777" w:rsidR="009E3054" w:rsidRPr="00BD13DF" w:rsidRDefault="009E3054" w:rsidP="00C72BD3">
      <w:pPr>
        <w:spacing w:line="240" w:lineRule="auto"/>
        <w:contextualSpacing/>
        <w:jc w:val="both"/>
        <w:rPr>
          <w:rFonts w:ascii="Times New Roman" w:hAnsi="Times New Roman" w:cs="Times New Roman"/>
          <w:sz w:val="24"/>
          <w:szCs w:val="24"/>
        </w:rPr>
      </w:pPr>
    </w:p>
    <w:p w14:paraId="4811FEA1" w14:textId="04C58A54" w:rsidR="009E3054" w:rsidRPr="00BD13DF" w:rsidRDefault="009E3054" w:rsidP="00C72BD3">
      <w:pPr>
        <w:pStyle w:val="Prrafodelista"/>
        <w:numPr>
          <w:ilvl w:val="0"/>
          <w:numId w:val="2"/>
        </w:numPr>
        <w:jc w:val="both"/>
        <w:rPr>
          <w:rFonts w:ascii="Times New Roman" w:hAnsi="Times New Roman" w:cs="Times New Roman"/>
          <w:lang w:val="es-CO"/>
        </w:rPr>
      </w:pPr>
      <w:r w:rsidRPr="00BD13DF">
        <w:rPr>
          <w:rFonts w:ascii="Times New Roman" w:hAnsi="Times New Roman" w:cs="Times New Roman"/>
          <w:b/>
          <w:lang w:val="es-CO"/>
        </w:rPr>
        <w:t>Potencial de los YNC</w:t>
      </w:r>
      <w:r w:rsidRPr="00BD13DF">
        <w:rPr>
          <w:rFonts w:ascii="Times New Roman" w:hAnsi="Times New Roman" w:cs="Times New Roman"/>
          <w:lang w:val="es-CO"/>
        </w:rPr>
        <w:t xml:space="preserve">: recursos estimados entre 10 y 20 </w:t>
      </w:r>
      <w:proofErr w:type="spellStart"/>
      <w:r w:rsidR="00C72BD3" w:rsidRPr="00BD13DF">
        <w:rPr>
          <w:rFonts w:ascii="Times New Roman" w:hAnsi="Times New Roman" w:cs="Times New Roman"/>
          <w:lang w:val="es-CO"/>
        </w:rPr>
        <w:t>T</w:t>
      </w:r>
      <w:r w:rsidRPr="00BD13DF">
        <w:rPr>
          <w:rFonts w:ascii="Times New Roman" w:hAnsi="Times New Roman" w:cs="Times New Roman"/>
          <w:lang w:val="es-CO"/>
        </w:rPr>
        <w:t>erapiés</w:t>
      </w:r>
      <w:proofErr w:type="spellEnd"/>
      <w:r w:rsidRPr="00BD13DF">
        <w:rPr>
          <w:rFonts w:ascii="Times New Roman" w:hAnsi="Times New Roman" w:cs="Times New Roman"/>
          <w:lang w:val="es-CO"/>
        </w:rPr>
        <w:t xml:space="preserve"> cúbicos de gas, y entre 5 y 10 mil millones de barriles de crudo que podrían más que triplicar las reservas actuales</w:t>
      </w:r>
    </w:p>
    <w:p w14:paraId="75624472" w14:textId="39E0EEEC" w:rsidR="009E3054" w:rsidRPr="00BD13DF" w:rsidRDefault="009E3054" w:rsidP="00C72BD3">
      <w:pPr>
        <w:pStyle w:val="Prrafodelista"/>
        <w:numPr>
          <w:ilvl w:val="0"/>
          <w:numId w:val="2"/>
        </w:numPr>
        <w:jc w:val="both"/>
        <w:rPr>
          <w:rFonts w:ascii="Times New Roman" w:hAnsi="Times New Roman" w:cs="Times New Roman"/>
          <w:lang w:val="es-CO"/>
        </w:rPr>
      </w:pPr>
      <w:r w:rsidRPr="00BD13DF">
        <w:rPr>
          <w:rFonts w:ascii="Times New Roman" w:hAnsi="Times New Roman" w:cs="Times New Roman"/>
          <w:b/>
          <w:w w:val="105"/>
          <w:u w:val="single" w:color="4F81BD"/>
          <w:lang w:val="es-CO"/>
        </w:rPr>
        <w:t>Producción</w:t>
      </w:r>
      <w:r w:rsidR="00321131">
        <w:rPr>
          <w:rFonts w:ascii="Times New Roman" w:hAnsi="Times New Roman" w:cs="Times New Roman"/>
          <w:b/>
          <w:w w:val="105"/>
          <w:u w:val="single" w:color="4F81BD"/>
          <w:lang w:val="es-CO"/>
        </w:rPr>
        <w:t xml:space="preserve"> </w:t>
      </w:r>
      <w:r w:rsidRPr="00BD13DF">
        <w:rPr>
          <w:rFonts w:ascii="Times New Roman" w:hAnsi="Times New Roman" w:cs="Times New Roman"/>
          <w:b/>
          <w:w w:val="105"/>
          <w:u w:val="single" w:color="4F81BD"/>
          <w:lang w:val="es-CO"/>
        </w:rPr>
        <w:t>adicional</w:t>
      </w:r>
      <w:r w:rsidRPr="00BD13DF">
        <w:rPr>
          <w:rFonts w:ascii="Times New Roman" w:hAnsi="Times New Roman" w:cs="Times New Roman"/>
          <w:w w:val="105"/>
          <w:lang w:val="es-CO"/>
        </w:rPr>
        <w:t xml:space="preserve">: estimamos alcanzar una producción con estos cuatro proyectos de </w:t>
      </w:r>
      <w:r w:rsidRPr="00BD13DF">
        <w:rPr>
          <w:rFonts w:ascii="Times New Roman" w:hAnsi="Times New Roman" w:cs="Times New Roman"/>
          <w:b/>
          <w:w w:val="105"/>
          <w:lang w:val="es-CO"/>
        </w:rPr>
        <w:t>cerca de 450 mil barriles diarios adicionales</w:t>
      </w:r>
      <w:r w:rsidRPr="00BD13DF">
        <w:rPr>
          <w:rFonts w:ascii="Times New Roman" w:hAnsi="Times New Roman" w:cs="Times New Roman"/>
          <w:w w:val="105"/>
          <w:lang w:val="es-CO"/>
        </w:rPr>
        <w:t>.</w:t>
      </w:r>
    </w:p>
    <w:p w14:paraId="55E8C113" w14:textId="77777777" w:rsidR="009E3054" w:rsidRPr="00BD13DF" w:rsidRDefault="009E3054" w:rsidP="00C72BD3">
      <w:pPr>
        <w:pStyle w:val="Prrafodelista"/>
        <w:numPr>
          <w:ilvl w:val="0"/>
          <w:numId w:val="2"/>
        </w:numPr>
        <w:jc w:val="both"/>
        <w:rPr>
          <w:rFonts w:ascii="Times New Roman" w:hAnsi="Times New Roman" w:cs="Times New Roman"/>
          <w:lang w:val="es-CO"/>
        </w:rPr>
      </w:pPr>
      <w:r w:rsidRPr="00BD13DF">
        <w:rPr>
          <w:rFonts w:ascii="Times New Roman" w:hAnsi="Times New Roman" w:cs="Times New Roman"/>
          <w:b/>
          <w:w w:val="105"/>
          <w:u w:val="single" w:color="4F81BD"/>
          <w:lang w:val="es-CO"/>
        </w:rPr>
        <w:t>Inversión</w:t>
      </w:r>
      <w:r w:rsidRPr="00BD13DF">
        <w:rPr>
          <w:rFonts w:ascii="Times New Roman" w:hAnsi="Times New Roman" w:cs="Times New Roman"/>
          <w:b/>
          <w:spacing w:val="1"/>
          <w:w w:val="105"/>
          <w:u w:val="single" w:color="4F81BD"/>
          <w:lang w:val="es-CO"/>
        </w:rPr>
        <w:t xml:space="preserve"> </w:t>
      </w:r>
      <w:r w:rsidRPr="00BD13DF">
        <w:rPr>
          <w:rFonts w:ascii="Times New Roman" w:hAnsi="Times New Roman" w:cs="Times New Roman"/>
          <w:b/>
          <w:w w:val="105"/>
          <w:u w:val="single" w:color="4F81BD"/>
          <w:lang w:val="es-CO"/>
        </w:rPr>
        <w:t xml:space="preserve">requerida: </w:t>
      </w:r>
      <w:r w:rsidRPr="00BD13DF">
        <w:rPr>
          <w:rFonts w:ascii="Times New Roman" w:hAnsi="Times New Roman" w:cs="Times New Roman"/>
          <w:w w:val="105"/>
          <w:lang w:val="es-CO"/>
        </w:rPr>
        <w:t xml:space="preserve">Si la exploración demuestra que los proyectos son viables y </w:t>
      </w:r>
      <w:r w:rsidRPr="00BD13DF">
        <w:rPr>
          <w:rFonts w:ascii="Times New Roman" w:hAnsi="Times New Roman" w:cs="Times New Roman"/>
          <w:b/>
          <w:w w:val="105"/>
          <w:lang w:val="es-CO"/>
        </w:rPr>
        <w:t xml:space="preserve">pasan a la etapa de desarrollo, la inversión podría alcanzar los 5 mil millones de dólares </w:t>
      </w:r>
      <w:r w:rsidRPr="00BD13DF">
        <w:rPr>
          <w:rFonts w:ascii="Times New Roman" w:hAnsi="Times New Roman" w:cs="Times New Roman"/>
          <w:b/>
          <w:spacing w:val="3"/>
          <w:w w:val="105"/>
          <w:lang w:val="es-CO"/>
        </w:rPr>
        <w:t>anuales</w:t>
      </w:r>
    </w:p>
    <w:p w14:paraId="5D43D2E3" w14:textId="77777777" w:rsidR="009E3054" w:rsidRPr="00BD13DF" w:rsidRDefault="009E3054" w:rsidP="00C72BD3">
      <w:pPr>
        <w:pStyle w:val="Prrafodelista"/>
        <w:numPr>
          <w:ilvl w:val="0"/>
          <w:numId w:val="2"/>
        </w:numPr>
        <w:jc w:val="both"/>
        <w:rPr>
          <w:rFonts w:ascii="Times New Roman" w:hAnsi="Times New Roman" w:cs="Times New Roman"/>
          <w:lang w:val="es-CO"/>
        </w:rPr>
      </w:pPr>
      <w:r w:rsidRPr="00BD13DF">
        <w:rPr>
          <w:rFonts w:ascii="Times New Roman" w:hAnsi="Times New Roman" w:cs="Times New Roman"/>
          <w:b/>
          <w:w w:val="105"/>
          <w:u w:val="single" w:color="4F81BD"/>
          <w:lang w:val="es-CO"/>
        </w:rPr>
        <w:t>Ingresos para la Nación y las</w:t>
      </w:r>
      <w:r w:rsidRPr="00BD13DF">
        <w:rPr>
          <w:rFonts w:ascii="Times New Roman" w:hAnsi="Times New Roman" w:cs="Times New Roman"/>
          <w:b/>
          <w:spacing w:val="4"/>
          <w:w w:val="105"/>
          <w:u w:val="single" w:color="4F81BD"/>
          <w:lang w:val="es-CO"/>
        </w:rPr>
        <w:t xml:space="preserve"> </w:t>
      </w:r>
      <w:r w:rsidRPr="00BD13DF">
        <w:rPr>
          <w:rFonts w:ascii="Times New Roman" w:hAnsi="Times New Roman" w:cs="Times New Roman"/>
          <w:b/>
          <w:w w:val="105"/>
          <w:u w:val="single" w:color="4F81BD"/>
          <w:lang w:val="es-CO"/>
        </w:rPr>
        <w:t>regiones</w:t>
      </w:r>
      <w:r w:rsidRPr="00BD13DF">
        <w:rPr>
          <w:rFonts w:ascii="Times New Roman" w:hAnsi="Times New Roman" w:cs="Times New Roman"/>
          <w:w w:val="105"/>
          <w:lang w:val="es-CO"/>
        </w:rPr>
        <w:t>: El aporte estimado de los YNC en los próximos 25 años totalizaría 36 mil millones de dólares (10 mil millones USD en regalías, 18 mil millones USD en impuestos, 6 mil millones USD en dividendos y 2 mil millones USD en derechos</w:t>
      </w:r>
      <w:r w:rsidRPr="00BD13DF">
        <w:rPr>
          <w:rFonts w:ascii="Times New Roman" w:hAnsi="Times New Roman" w:cs="Times New Roman"/>
          <w:spacing w:val="-12"/>
          <w:w w:val="105"/>
          <w:lang w:val="es-CO"/>
        </w:rPr>
        <w:t xml:space="preserve"> </w:t>
      </w:r>
      <w:r w:rsidRPr="00BD13DF">
        <w:rPr>
          <w:rFonts w:ascii="Times New Roman" w:hAnsi="Times New Roman" w:cs="Times New Roman"/>
          <w:w w:val="105"/>
          <w:lang w:val="es-CO"/>
        </w:rPr>
        <w:t>económicos)</w:t>
      </w:r>
    </w:p>
    <w:p w14:paraId="0DFE3844" w14:textId="77777777" w:rsidR="009E3054" w:rsidRPr="00BD13DF" w:rsidRDefault="009E3054" w:rsidP="00C72BD3">
      <w:pPr>
        <w:pStyle w:val="Prrafodelista"/>
        <w:numPr>
          <w:ilvl w:val="0"/>
          <w:numId w:val="2"/>
        </w:numPr>
        <w:jc w:val="both"/>
        <w:rPr>
          <w:rFonts w:ascii="Times New Roman" w:hAnsi="Times New Roman" w:cs="Times New Roman"/>
          <w:lang w:val="es-CO"/>
        </w:rPr>
      </w:pPr>
      <w:r w:rsidRPr="00BD13DF">
        <w:rPr>
          <w:rFonts w:ascii="Times New Roman" w:hAnsi="Times New Roman" w:cs="Times New Roman"/>
          <w:w w:val="105"/>
          <w:lang w:val="es-CO"/>
        </w:rPr>
        <w:t xml:space="preserve">Los encadenamientos productivos generarían </w:t>
      </w:r>
      <w:r w:rsidRPr="00BD13DF">
        <w:rPr>
          <w:rFonts w:ascii="Times New Roman" w:hAnsi="Times New Roman" w:cs="Times New Roman"/>
          <w:b/>
          <w:w w:val="105"/>
          <w:lang w:val="es-CO"/>
        </w:rPr>
        <w:t>ingresos fiscales adicionales para las regiones por ICA e impuestos a los combustibles de al menos 34 millones de dólares por año</w:t>
      </w:r>
    </w:p>
    <w:p w14:paraId="4EEBE2D4" w14:textId="06CAEE28" w:rsidR="009E3054" w:rsidRPr="00BD13DF" w:rsidRDefault="009E3054" w:rsidP="00C72BD3">
      <w:pPr>
        <w:pStyle w:val="Prrafodelista"/>
        <w:numPr>
          <w:ilvl w:val="0"/>
          <w:numId w:val="2"/>
        </w:numPr>
        <w:spacing w:before="5"/>
        <w:jc w:val="both"/>
        <w:rPr>
          <w:rFonts w:ascii="Times New Roman" w:hAnsi="Times New Roman" w:cs="Times New Roman"/>
          <w:lang w:val="es-CO"/>
        </w:rPr>
      </w:pPr>
      <w:r w:rsidRPr="00BD13DF">
        <w:rPr>
          <w:rFonts w:ascii="Times New Roman" w:hAnsi="Times New Roman" w:cs="Times New Roman"/>
          <w:b/>
          <w:w w:val="105"/>
          <w:u w:val="single" w:color="4F81BD"/>
          <w:lang w:val="es-CO"/>
        </w:rPr>
        <w:t>Generación de</w:t>
      </w:r>
      <w:r w:rsidRPr="00BD13DF">
        <w:rPr>
          <w:rFonts w:ascii="Times New Roman" w:hAnsi="Times New Roman" w:cs="Times New Roman"/>
          <w:b/>
          <w:spacing w:val="2"/>
          <w:w w:val="105"/>
          <w:u w:val="single" w:color="4F81BD"/>
          <w:lang w:val="es-CO"/>
        </w:rPr>
        <w:t xml:space="preserve"> </w:t>
      </w:r>
      <w:r w:rsidRPr="00BD13DF">
        <w:rPr>
          <w:rFonts w:ascii="Times New Roman" w:hAnsi="Times New Roman" w:cs="Times New Roman"/>
          <w:b/>
          <w:w w:val="105"/>
          <w:u w:val="single" w:color="4F81BD"/>
          <w:lang w:val="es-CO"/>
        </w:rPr>
        <w:t xml:space="preserve">empleos: </w:t>
      </w:r>
      <w:r w:rsidRPr="00BD13DF">
        <w:rPr>
          <w:rFonts w:ascii="Times New Roman" w:hAnsi="Times New Roman" w:cs="Times New Roman"/>
          <w:lang w:val="es-CO"/>
        </w:rPr>
        <w:t xml:space="preserve">Los YNC en su etapa de producción dejarían para el país 19.000 </w:t>
      </w:r>
      <w:r w:rsidR="00321131" w:rsidRPr="00BD13DF">
        <w:rPr>
          <w:rFonts w:ascii="Times New Roman" w:hAnsi="Times New Roman" w:cs="Times New Roman"/>
          <w:lang w:val="es-CO"/>
        </w:rPr>
        <w:t>nuevos empleos directos</w:t>
      </w:r>
      <w:r w:rsidRPr="00BD13DF">
        <w:rPr>
          <w:rFonts w:ascii="Times New Roman" w:hAnsi="Times New Roman" w:cs="Times New Roman"/>
          <w:lang w:val="es-CO"/>
        </w:rPr>
        <w:t xml:space="preserve"> estables, que sumados a los indirectos e inducidos totalizarían </w:t>
      </w:r>
      <w:r w:rsidRPr="00BD13DF">
        <w:rPr>
          <w:rFonts w:ascii="Times New Roman" w:hAnsi="Times New Roman" w:cs="Times New Roman"/>
          <w:u w:val="single"/>
          <w:lang w:val="es-CO"/>
        </w:rPr>
        <w:t xml:space="preserve">68.000 nuevos empleos durante 25 </w:t>
      </w:r>
      <w:r w:rsidRPr="00BD13DF">
        <w:rPr>
          <w:rFonts w:ascii="Times New Roman" w:hAnsi="Times New Roman" w:cs="Times New Roman"/>
          <w:spacing w:val="2"/>
          <w:u w:val="single"/>
          <w:lang w:val="es-CO"/>
        </w:rPr>
        <w:t xml:space="preserve">años </w:t>
      </w:r>
    </w:p>
    <w:p w14:paraId="4A69B076" w14:textId="77777777" w:rsidR="009E3054" w:rsidRPr="00BD13DF" w:rsidRDefault="009E3054" w:rsidP="00C72BD3">
      <w:pPr>
        <w:spacing w:line="240" w:lineRule="auto"/>
        <w:jc w:val="both"/>
        <w:rPr>
          <w:rFonts w:ascii="Times New Roman" w:hAnsi="Times New Roman" w:cs="Times New Roman"/>
          <w:sz w:val="24"/>
          <w:szCs w:val="24"/>
        </w:rPr>
      </w:pPr>
    </w:p>
    <w:p w14:paraId="53A389B7" w14:textId="77777777" w:rsidR="009E3054" w:rsidRPr="00BD13DF" w:rsidRDefault="009E3054" w:rsidP="00C72BD3">
      <w:pPr>
        <w:spacing w:line="240" w:lineRule="auto"/>
        <w:jc w:val="both"/>
        <w:rPr>
          <w:rFonts w:ascii="Times New Roman" w:hAnsi="Times New Roman" w:cs="Times New Roman"/>
          <w:sz w:val="24"/>
          <w:szCs w:val="24"/>
        </w:rPr>
      </w:pPr>
      <w:bookmarkStart w:id="0" w:name="_Hlk536111933"/>
      <w:r w:rsidRPr="00BD13DF">
        <w:rPr>
          <w:rFonts w:ascii="Times New Roman" w:hAnsi="Times New Roman" w:cs="Times New Roman"/>
          <w:sz w:val="24"/>
          <w:szCs w:val="24"/>
        </w:rPr>
        <w:t xml:space="preserve">Es importante resaltar que tomar la decisión de prohibir la exploración y producción comercial de los YNC, sería el de poner en riesgo la autosuficiencia energética en materia de gas natural y crudo. </w:t>
      </w:r>
    </w:p>
    <w:p w14:paraId="43E70C12" w14:textId="77777777" w:rsidR="009E3054" w:rsidRPr="00BD13DF" w:rsidRDefault="009E3054" w:rsidP="00C72BD3">
      <w:pPr>
        <w:pStyle w:val="Prrafodelista"/>
        <w:numPr>
          <w:ilvl w:val="0"/>
          <w:numId w:val="3"/>
        </w:numPr>
        <w:jc w:val="both"/>
        <w:rPr>
          <w:rFonts w:ascii="Times New Roman" w:hAnsi="Times New Roman" w:cs="Times New Roman"/>
          <w:w w:val="105"/>
          <w:lang w:val="es-CO"/>
        </w:rPr>
      </w:pPr>
      <w:r w:rsidRPr="00BD13DF">
        <w:rPr>
          <w:rFonts w:ascii="Times New Roman" w:hAnsi="Times New Roman" w:cs="Times New Roman"/>
          <w:lang w:val="es-CO"/>
        </w:rPr>
        <w:t xml:space="preserve">En materia de gas natural se estima que para 2022 </w:t>
      </w:r>
      <w:r w:rsidRPr="00BD13DF">
        <w:rPr>
          <w:rFonts w:ascii="Times New Roman" w:hAnsi="Times New Roman" w:cs="Times New Roman"/>
          <w:w w:val="105"/>
          <w:lang w:val="es-CO"/>
        </w:rPr>
        <w:t>habría</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un</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déficit</w:t>
      </w:r>
      <w:r w:rsidRPr="00BD13DF">
        <w:rPr>
          <w:rFonts w:ascii="Times New Roman" w:hAnsi="Times New Roman" w:cs="Times New Roman"/>
          <w:spacing w:val="-5"/>
          <w:w w:val="105"/>
          <w:lang w:val="es-CO"/>
        </w:rPr>
        <w:t xml:space="preserve"> </w:t>
      </w:r>
      <w:r w:rsidRPr="00BD13DF">
        <w:rPr>
          <w:rFonts w:ascii="Times New Roman" w:hAnsi="Times New Roman" w:cs="Times New Roman"/>
          <w:w w:val="105"/>
          <w:lang w:val="es-CO"/>
        </w:rPr>
        <w:t>de</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oferta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local</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frente</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a</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la</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demanda</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de</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46 MPCD, la cual para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2040</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llegaría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1.235</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MPCD,</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es</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decir</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el</w:t>
      </w:r>
      <w:r w:rsidRPr="00BD13DF">
        <w:rPr>
          <w:rFonts w:ascii="Times New Roman" w:hAnsi="Times New Roman" w:cs="Times New Roman"/>
          <w:spacing w:val="-4"/>
          <w:w w:val="105"/>
          <w:lang w:val="es-CO"/>
        </w:rPr>
        <w:t xml:space="preserve"> </w:t>
      </w:r>
      <w:r w:rsidRPr="00BD13DF">
        <w:rPr>
          <w:rFonts w:ascii="Times New Roman" w:hAnsi="Times New Roman" w:cs="Times New Roman"/>
          <w:w w:val="105"/>
          <w:lang w:val="es-CO"/>
        </w:rPr>
        <w:t>94%</w:t>
      </w:r>
      <w:r w:rsidRPr="00BD13DF">
        <w:rPr>
          <w:rFonts w:ascii="Times New Roman" w:hAnsi="Times New Roman" w:cs="Times New Roman"/>
          <w:spacing w:val="-1"/>
          <w:w w:val="105"/>
          <w:lang w:val="es-CO"/>
        </w:rPr>
        <w:t xml:space="preserve"> </w:t>
      </w:r>
      <w:r w:rsidRPr="00BD13DF">
        <w:rPr>
          <w:rFonts w:ascii="Times New Roman" w:hAnsi="Times New Roman" w:cs="Times New Roman"/>
          <w:w w:val="105"/>
          <w:lang w:val="es-CO"/>
        </w:rPr>
        <w:t>de</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la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demanda</w:t>
      </w:r>
      <w:r w:rsidRPr="00BD13DF">
        <w:rPr>
          <w:rFonts w:ascii="Times New Roman" w:hAnsi="Times New Roman" w:cs="Times New Roman"/>
          <w:spacing w:val="-3"/>
          <w:w w:val="105"/>
          <w:lang w:val="es-CO"/>
        </w:rPr>
        <w:t xml:space="preserve"> </w:t>
      </w:r>
      <w:r w:rsidRPr="00BD13DF">
        <w:rPr>
          <w:rFonts w:ascii="Times New Roman" w:hAnsi="Times New Roman" w:cs="Times New Roman"/>
          <w:w w:val="105"/>
          <w:lang w:val="es-CO"/>
        </w:rPr>
        <w:t>esperada. Realizar estas importaciones para garantizar la disponibilidad del gas, t</w:t>
      </w:r>
      <w:r w:rsidRPr="00BD13DF">
        <w:rPr>
          <w:rFonts w:ascii="Times New Roman" w:hAnsi="Times New Roman" w:cs="Times New Roman"/>
          <w:b/>
          <w:w w:val="105"/>
          <w:lang w:val="es-CO"/>
        </w:rPr>
        <w:t>endría un costo estimado de 2.994 millones de dólares</w:t>
      </w:r>
      <w:r w:rsidRPr="00BD13DF">
        <w:rPr>
          <w:rFonts w:ascii="Times New Roman" w:hAnsi="Times New Roman" w:cs="Times New Roman"/>
          <w:w w:val="105"/>
          <w:lang w:val="es-CO"/>
        </w:rPr>
        <w:t xml:space="preserve">. </w:t>
      </w:r>
      <w:bookmarkEnd w:id="0"/>
    </w:p>
    <w:p w14:paraId="11C6D92C" w14:textId="77777777" w:rsidR="009E3054" w:rsidRPr="00BD13DF" w:rsidRDefault="009E3054" w:rsidP="00C72BD3">
      <w:pPr>
        <w:pStyle w:val="Prrafodelista"/>
        <w:jc w:val="both"/>
        <w:rPr>
          <w:rFonts w:ascii="Times New Roman" w:hAnsi="Times New Roman" w:cs="Times New Roman"/>
          <w:w w:val="105"/>
          <w:lang w:val="es-CO"/>
        </w:rPr>
      </w:pPr>
    </w:p>
    <w:p w14:paraId="14861D2B" w14:textId="77777777" w:rsidR="009E3054" w:rsidRPr="00BD13DF" w:rsidRDefault="009E3054" w:rsidP="00C72BD3">
      <w:pPr>
        <w:pStyle w:val="Prrafodelista"/>
        <w:numPr>
          <w:ilvl w:val="0"/>
          <w:numId w:val="3"/>
        </w:numPr>
        <w:jc w:val="both"/>
        <w:rPr>
          <w:rFonts w:ascii="Times New Roman" w:hAnsi="Times New Roman" w:cs="Times New Roman"/>
          <w:w w:val="105"/>
          <w:lang w:val="es-CO"/>
        </w:rPr>
      </w:pPr>
      <w:r w:rsidRPr="00BD13DF">
        <w:rPr>
          <w:rFonts w:ascii="Times New Roman" w:hAnsi="Times New Roman" w:cs="Times New Roman"/>
          <w:lang w:val="es-CO"/>
        </w:rPr>
        <w:t>Por su parte la Refinería de Barrancabermeja</w:t>
      </w:r>
      <w:r w:rsidRPr="00BD13DF">
        <w:rPr>
          <w:rFonts w:ascii="Times New Roman" w:hAnsi="Times New Roman" w:cs="Times New Roman"/>
          <w:w w:val="105"/>
          <w:lang w:val="es-CO"/>
        </w:rPr>
        <w:t xml:space="preserve"> importa (5%) de su dieta y se prevé que estos volúmenes crecerán al 30% en 10 años y 90% en 20 años si no hay una incorporación de nuevos recursos. Por su parte Reficar importa el 15% de su dieta y en 10 años se proyecta que podría alcanzar al</w:t>
      </w:r>
      <w:r w:rsidRPr="00BD13DF">
        <w:rPr>
          <w:rFonts w:ascii="Times New Roman" w:hAnsi="Times New Roman" w:cs="Times New Roman"/>
          <w:spacing w:val="8"/>
          <w:w w:val="105"/>
          <w:lang w:val="es-CO"/>
        </w:rPr>
        <w:t xml:space="preserve"> </w:t>
      </w:r>
      <w:r w:rsidRPr="00BD13DF">
        <w:rPr>
          <w:rFonts w:ascii="Times New Roman" w:hAnsi="Times New Roman" w:cs="Times New Roman"/>
          <w:w w:val="105"/>
          <w:lang w:val="es-CO"/>
        </w:rPr>
        <w:t>40%.</w:t>
      </w:r>
      <w:r w:rsidRPr="00BD13DF">
        <w:rPr>
          <w:rFonts w:ascii="Times New Roman" w:hAnsi="Times New Roman" w:cs="Times New Roman"/>
          <w:lang w:val="es-CO"/>
        </w:rPr>
        <w:t xml:space="preserve"> </w:t>
      </w:r>
      <w:r w:rsidRPr="00BD13DF">
        <w:rPr>
          <w:rFonts w:ascii="Times New Roman" w:hAnsi="Times New Roman" w:cs="Times New Roman"/>
          <w:w w:val="105"/>
          <w:lang w:val="es-CO"/>
        </w:rPr>
        <w:t xml:space="preserve">Para atender la dieta de las refinerías de Cartagena y Barrancabermeja en el año 2040, sería necesaria la importación de alrededor de 377 </w:t>
      </w:r>
      <w:proofErr w:type="spellStart"/>
      <w:r w:rsidRPr="00BD13DF">
        <w:rPr>
          <w:rFonts w:ascii="Times New Roman" w:hAnsi="Times New Roman" w:cs="Times New Roman"/>
          <w:w w:val="105"/>
          <w:lang w:val="es-CO"/>
        </w:rPr>
        <w:t>kbpd</w:t>
      </w:r>
      <w:proofErr w:type="spellEnd"/>
      <w:r w:rsidRPr="00BD13DF">
        <w:rPr>
          <w:rFonts w:ascii="Times New Roman" w:hAnsi="Times New Roman" w:cs="Times New Roman"/>
          <w:w w:val="105"/>
          <w:lang w:val="es-CO"/>
        </w:rPr>
        <w:t xml:space="preserve">, </w:t>
      </w:r>
      <w:r w:rsidRPr="00BD13DF">
        <w:rPr>
          <w:rFonts w:ascii="Times New Roman" w:hAnsi="Times New Roman" w:cs="Times New Roman"/>
          <w:b/>
          <w:w w:val="105"/>
          <w:lang w:val="es-CO"/>
        </w:rPr>
        <w:t>lo cual le representaría al país un costo de 3.013 millones de dólares</w:t>
      </w:r>
      <w:r w:rsidRPr="00BD13DF">
        <w:rPr>
          <w:rFonts w:ascii="Times New Roman" w:hAnsi="Times New Roman" w:cs="Times New Roman"/>
          <w:w w:val="105"/>
          <w:lang w:val="es-CO"/>
        </w:rPr>
        <w:t>.</w:t>
      </w:r>
    </w:p>
    <w:p w14:paraId="7819A63A" w14:textId="77777777" w:rsidR="009E3054" w:rsidRPr="00BD13DF" w:rsidRDefault="009E3054" w:rsidP="00C72BD3">
      <w:pPr>
        <w:pStyle w:val="Prrafodelista"/>
        <w:rPr>
          <w:rFonts w:ascii="Times New Roman" w:hAnsi="Times New Roman" w:cs="Times New Roman"/>
          <w:w w:val="105"/>
          <w:lang w:val="es-CO"/>
        </w:rPr>
      </w:pPr>
    </w:p>
    <w:p w14:paraId="0B0AF456" w14:textId="321F3485" w:rsidR="009E3054" w:rsidRPr="00BD13DF" w:rsidRDefault="009E3054" w:rsidP="00C72BD3">
      <w:pPr>
        <w:pStyle w:val="Prrafodelista"/>
        <w:numPr>
          <w:ilvl w:val="0"/>
          <w:numId w:val="3"/>
        </w:numPr>
        <w:jc w:val="both"/>
        <w:rPr>
          <w:rFonts w:ascii="Times New Roman" w:hAnsi="Times New Roman" w:cs="Times New Roman"/>
          <w:w w:val="105"/>
          <w:lang w:val="es-CO"/>
        </w:rPr>
      </w:pPr>
      <w:r w:rsidRPr="00BD13DF">
        <w:rPr>
          <w:rFonts w:ascii="Times New Roman" w:hAnsi="Times New Roman" w:cs="Times New Roman"/>
          <w:w w:val="105"/>
          <w:lang w:val="es-CO"/>
        </w:rPr>
        <w:t xml:space="preserve">Finalmente en materia de productos refinados </w:t>
      </w:r>
      <w:r w:rsidRPr="00BD13DF">
        <w:rPr>
          <w:rFonts w:ascii="Times New Roman" w:hAnsi="Times New Roman" w:cs="Times New Roman"/>
          <w:lang w:val="es-CO"/>
        </w:rPr>
        <w:t xml:space="preserve">(diésel, gasolina y jet), se importan alrededor de 40 </w:t>
      </w:r>
      <w:proofErr w:type="spellStart"/>
      <w:proofErr w:type="gramStart"/>
      <w:r w:rsidRPr="00BD13DF">
        <w:rPr>
          <w:rFonts w:ascii="Times New Roman" w:hAnsi="Times New Roman" w:cs="Times New Roman"/>
          <w:lang w:val="es-CO"/>
        </w:rPr>
        <w:t>kbpd</w:t>
      </w:r>
      <w:proofErr w:type="spellEnd"/>
      <w:r w:rsidRPr="00BD13DF">
        <w:rPr>
          <w:rFonts w:ascii="Times New Roman" w:hAnsi="Times New Roman" w:cs="Times New Roman"/>
          <w:lang w:val="es-CO"/>
        </w:rPr>
        <w:t xml:space="preserve"> ,</w:t>
      </w:r>
      <w:proofErr w:type="gramEnd"/>
      <w:r w:rsidRPr="00BD13DF">
        <w:rPr>
          <w:rFonts w:ascii="Times New Roman" w:hAnsi="Times New Roman" w:cs="Times New Roman"/>
          <w:lang w:val="es-CO"/>
        </w:rPr>
        <w:t xml:space="preserve"> los cuales equivalen al 16% de la demanda nacional. Se estima que este valor se triplique, alcanzando los 130 mil</w:t>
      </w:r>
      <w:r w:rsidRPr="00BD13DF">
        <w:rPr>
          <w:rFonts w:ascii="Times New Roman" w:hAnsi="Times New Roman" w:cs="Times New Roman"/>
          <w:spacing w:val="4"/>
          <w:lang w:val="es-CO"/>
        </w:rPr>
        <w:t xml:space="preserve"> </w:t>
      </w:r>
      <w:r w:rsidRPr="00BD13DF">
        <w:rPr>
          <w:rFonts w:ascii="Times New Roman" w:hAnsi="Times New Roman" w:cs="Times New Roman"/>
          <w:lang w:val="es-CO"/>
        </w:rPr>
        <w:t>bpd</w:t>
      </w:r>
      <w:r w:rsidRPr="00BD13DF">
        <w:rPr>
          <w:rFonts w:ascii="Times New Roman" w:hAnsi="Times New Roman" w:cs="Times New Roman"/>
          <w:vertAlign w:val="superscript"/>
          <w:lang w:val="es-CO"/>
        </w:rPr>
        <w:t xml:space="preserve"> </w:t>
      </w:r>
      <w:r w:rsidRPr="00BD13DF">
        <w:rPr>
          <w:rFonts w:ascii="Times New Roman" w:hAnsi="Times New Roman" w:cs="Times New Roman"/>
          <w:lang w:val="es-CO"/>
        </w:rPr>
        <w:t xml:space="preserve">en 20 años, </w:t>
      </w:r>
      <w:r w:rsidRPr="00BD13DF">
        <w:rPr>
          <w:rFonts w:ascii="Times New Roman" w:hAnsi="Times New Roman" w:cs="Times New Roman"/>
          <w:b/>
          <w:lang w:val="es-CO"/>
        </w:rPr>
        <w:t xml:space="preserve">esto tendría un costo cercano a los </w:t>
      </w:r>
      <w:r w:rsidRPr="00BD13DF">
        <w:rPr>
          <w:rFonts w:ascii="Times New Roman" w:hAnsi="Times New Roman" w:cs="Times New Roman"/>
          <w:b/>
          <w:w w:val="105"/>
          <w:lang w:val="es-CO"/>
        </w:rPr>
        <w:t>8.794 millones de dólares</w:t>
      </w:r>
      <w:r w:rsidRPr="00BD13DF">
        <w:rPr>
          <w:rFonts w:ascii="Times New Roman" w:hAnsi="Times New Roman" w:cs="Times New Roman"/>
          <w:w w:val="105"/>
          <w:lang w:val="es-CO"/>
        </w:rPr>
        <w:t xml:space="preserve">. </w:t>
      </w:r>
    </w:p>
    <w:p w14:paraId="3E4C450F" w14:textId="77777777" w:rsidR="009E3054" w:rsidRPr="00BD13DF" w:rsidRDefault="009E3054" w:rsidP="00C72BD3">
      <w:pPr>
        <w:spacing w:before="2" w:line="240" w:lineRule="auto"/>
        <w:ind w:left="823" w:right="222"/>
        <w:jc w:val="both"/>
        <w:rPr>
          <w:rFonts w:ascii="Times New Roman" w:hAnsi="Times New Roman" w:cs="Times New Roman"/>
          <w:sz w:val="24"/>
          <w:szCs w:val="24"/>
        </w:rPr>
      </w:pPr>
    </w:p>
    <w:p w14:paraId="707E82A8" w14:textId="1D8CA49D" w:rsidR="009E3054" w:rsidRDefault="009E3054" w:rsidP="00C72BD3">
      <w:pPr>
        <w:spacing w:before="2" w:line="240" w:lineRule="auto"/>
        <w:ind w:right="222"/>
        <w:jc w:val="both"/>
        <w:rPr>
          <w:rFonts w:ascii="Times New Roman" w:hAnsi="Times New Roman" w:cs="Times New Roman"/>
          <w:w w:val="105"/>
          <w:sz w:val="24"/>
          <w:szCs w:val="24"/>
        </w:rPr>
      </w:pPr>
      <w:r w:rsidRPr="00BD13DF">
        <w:rPr>
          <w:rFonts w:ascii="Times New Roman" w:hAnsi="Times New Roman" w:cs="Times New Roman"/>
          <w:sz w:val="24"/>
          <w:szCs w:val="24"/>
        </w:rPr>
        <w:t xml:space="preserve">El total directo del costo asociado ascendería </w:t>
      </w:r>
      <w:r w:rsidRPr="00BD13DF">
        <w:rPr>
          <w:rFonts w:ascii="Times New Roman" w:hAnsi="Times New Roman" w:cs="Times New Roman"/>
          <w:w w:val="105"/>
          <w:sz w:val="24"/>
          <w:szCs w:val="24"/>
        </w:rPr>
        <w:t>a 14.801 millones de dólares o alrededor de 59 billones de pesos debido a la necesidad de importar gas natural, petróleo y combustibles líquidos para abastecer la demanda nacional en los próximos 20 años. Adicionalmente a este costo se debería sumar el costo indirecto de recursos que no se recibirían, lo cual ascendería alrededor de 50 billones de dólares o cerca de 200 billones de pesos en los próximos 20 años</w:t>
      </w:r>
      <w:r w:rsidR="008B687E" w:rsidRPr="00BD13DF">
        <w:rPr>
          <w:rFonts w:ascii="Times New Roman" w:hAnsi="Times New Roman" w:cs="Times New Roman"/>
          <w:w w:val="105"/>
          <w:sz w:val="24"/>
          <w:szCs w:val="24"/>
        </w:rPr>
        <w:t>.</w:t>
      </w:r>
    </w:p>
    <w:p w14:paraId="050C90DA" w14:textId="77777777" w:rsidR="00AE6D74" w:rsidRDefault="00AE6D74" w:rsidP="00C72BD3">
      <w:pPr>
        <w:spacing w:before="2" w:line="240" w:lineRule="auto"/>
        <w:ind w:right="222"/>
        <w:jc w:val="both"/>
        <w:rPr>
          <w:rFonts w:ascii="Times New Roman" w:hAnsi="Times New Roman" w:cs="Times New Roman"/>
          <w:w w:val="105"/>
          <w:sz w:val="24"/>
          <w:szCs w:val="24"/>
        </w:rPr>
      </w:pPr>
      <w:r>
        <w:rPr>
          <w:rFonts w:ascii="Times New Roman" w:hAnsi="Times New Roman" w:cs="Times New Roman"/>
          <w:w w:val="105"/>
          <w:sz w:val="24"/>
          <w:szCs w:val="24"/>
        </w:rPr>
        <w:t>Estos artículos tienen un contenido técnico que debe evaluarse de forma técnica y no debe el país cerrarse a conclusiones, menos de tipo penal sin tener en cuenta las consecuencias que esto podría tener para la subsistencia y desarrollo de la nación. Lo anterior no implica en ninguna circunstancia permitir el deterioro ambiental a cambio de estabilidad financiera, pero ver el problema solo bajo esas ópticas radicales implicaría negar la tecnificación y avance de los sectores mineros y de hidrocarburos. Y que se debe propender por tener conversaciones con todos los sectores involucrados, no alejarlos más penalizando actividades.</w:t>
      </w:r>
    </w:p>
    <w:p w14:paraId="3F5C24E8" w14:textId="77777777" w:rsidR="00AE6D74" w:rsidRDefault="00AE6D74" w:rsidP="00C72BD3">
      <w:pPr>
        <w:spacing w:before="2" w:line="240" w:lineRule="auto"/>
        <w:ind w:right="222"/>
        <w:jc w:val="both"/>
        <w:rPr>
          <w:rFonts w:ascii="Times New Roman" w:hAnsi="Times New Roman" w:cs="Times New Roman"/>
          <w:w w:val="105"/>
          <w:sz w:val="24"/>
          <w:szCs w:val="24"/>
        </w:rPr>
      </w:pPr>
      <w:r>
        <w:rPr>
          <w:rFonts w:ascii="Times New Roman" w:hAnsi="Times New Roman" w:cs="Times New Roman"/>
          <w:w w:val="105"/>
          <w:sz w:val="24"/>
          <w:szCs w:val="24"/>
        </w:rPr>
        <w:t>Sin otro particular,</w:t>
      </w:r>
    </w:p>
    <w:p w14:paraId="2E53C5B8" w14:textId="77777777" w:rsidR="00AE6D74" w:rsidRDefault="00AE6D74" w:rsidP="00C72BD3">
      <w:pPr>
        <w:spacing w:before="2" w:line="240" w:lineRule="auto"/>
        <w:ind w:right="222"/>
        <w:jc w:val="both"/>
        <w:rPr>
          <w:rFonts w:ascii="Times New Roman" w:hAnsi="Times New Roman" w:cs="Times New Roman"/>
          <w:w w:val="105"/>
          <w:sz w:val="24"/>
          <w:szCs w:val="24"/>
        </w:rPr>
      </w:pPr>
    </w:p>
    <w:p w14:paraId="0F325CCC" w14:textId="50BEFEFE" w:rsidR="00AE6D74" w:rsidRDefault="00AE6D74" w:rsidP="00AE6D74">
      <w:pPr>
        <w:spacing w:before="2" w:line="240" w:lineRule="auto"/>
        <w:ind w:right="222"/>
        <w:jc w:val="center"/>
        <w:rPr>
          <w:rFonts w:ascii="Times New Roman" w:hAnsi="Times New Roman" w:cs="Times New Roman"/>
          <w:w w:val="105"/>
          <w:sz w:val="24"/>
          <w:szCs w:val="24"/>
        </w:rPr>
      </w:pPr>
      <w:r>
        <w:rPr>
          <w:rFonts w:ascii="Times New Roman" w:hAnsi="Times New Roman" w:cs="Times New Roman"/>
          <w:noProof/>
          <w:w w:val="105"/>
          <w:sz w:val="24"/>
          <w:szCs w:val="24"/>
        </w:rPr>
        <w:drawing>
          <wp:inline distT="0" distB="0" distL="0" distR="0" wp14:anchorId="6975AC38" wp14:editId="1F887360">
            <wp:extent cx="2619375" cy="1080770"/>
            <wp:effectExtent l="0" t="0" r="9525" b="5080"/>
            <wp:docPr id="5" name="Imagen 5" descr="Imagen que contiene objeto,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rma 2.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34576" cy="1087042"/>
                    </a:xfrm>
                    <a:prstGeom prst="rect">
                      <a:avLst/>
                    </a:prstGeom>
                  </pic:spPr>
                </pic:pic>
              </a:graphicData>
            </a:graphic>
          </wp:inline>
        </w:drawing>
      </w:r>
    </w:p>
    <w:p w14:paraId="3793D482" w14:textId="349DAD23" w:rsidR="00977C20" w:rsidRDefault="00AE6D74" w:rsidP="00AE6D74">
      <w:pPr>
        <w:spacing w:before="2" w:after="0" w:line="240" w:lineRule="auto"/>
        <w:ind w:right="222"/>
        <w:jc w:val="center"/>
        <w:rPr>
          <w:rFonts w:ascii="Times New Roman" w:hAnsi="Times New Roman" w:cs="Times New Roman"/>
          <w:b/>
          <w:bCs/>
          <w:w w:val="105"/>
          <w:sz w:val="24"/>
          <w:szCs w:val="24"/>
        </w:rPr>
      </w:pPr>
      <w:r>
        <w:rPr>
          <w:rFonts w:ascii="Times New Roman" w:hAnsi="Times New Roman" w:cs="Times New Roman"/>
          <w:b/>
          <w:bCs/>
          <w:w w:val="105"/>
          <w:sz w:val="24"/>
          <w:szCs w:val="24"/>
        </w:rPr>
        <w:t xml:space="preserve">EDWARD DAVID RODRÍGUEZ </w:t>
      </w:r>
      <w:proofErr w:type="spellStart"/>
      <w:r>
        <w:rPr>
          <w:rFonts w:ascii="Times New Roman" w:hAnsi="Times New Roman" w:cs="Times New Roman"/>
          <w:b/>
          <w:bCs/>
          <w:w w:val="105"/>
          <w:sz w:val="24"/>
          <w:szCs w:val="24"/>
        </w:rPr>
        <w:t>RODRÍGUEZ</w:t>
      </w:r>
      <w:proofErr w:type="spellEnd"/>
    </w:p>
    <w:p w14:paraId="2007DFB9" w14:textId="58EDCDB7" w:rsidR="00AE6D74" w:rsidRPr="00AE6D74" w:rsidRDefault="00AE6D74" w:rsidP="00AE6D74">
      <w:pPr>
        <w:spacing w:before="2" w:after="0" w:line="240" w:lineRule="auto"/>
        <w:ind w:right="222"/>
        <w:jc w:val="center"/>
        <w:rPr>
          <w:rFonts w:ascii="Times New Roman" w:hAnsi="Times New Roman" w:cs="Times New Roman"/>
          <w:b/>
          <w:bCs/>
          <w:w w:val="105"/>
          <w:sz w:val="24"/>
          <w:szCs w:val="24"/>
        </w:rPr>
      </w:pPr>
      <w:r>
        <w:rPr>
          <w:rFonts w:ascii="Times New Roman" w:hAnsi="Times New Roman" w:cs="Times New Roman"/>
          <w:b/>
          <w:bCs/>
          <w:w w:val="105"/>
          <w:sz w:val="24"/>
          <w:szCs w:val="24"/>
        </w:rPr>
        <w:t>REPRESENTANTE A LA CÁMARA POR BOGOTÁ D.C.</w:t>
      </w:r>
    </w:p>
    <w:p w14:paraId="129DFCAB" w14:textId="51F2EC55" w:rsidR="008B687E" w:rsidRPr="00BD13DF" w:rsidRDefault="008B687E" w:rsidP="00C72BD3">
      <w:pPr>
        <w:spacing w:before="2" w:line="240" w:lineRule="auto"/>
        <w:ind w:right="222"/>
        <w:jc w:val="both"/>
        <w:rPr>
          <w:rFonts w:ascii="Times New Roman" w:hAnsi="Times New Roman" w:cs="Times New Roman"/>
          <w:w w:val="105"/>
          <w:sz w:val="24"/>
          <w:szCs w:val="24"/>
        </w:rPr>
      </w:pPr>
    </w:p>
    <w:sectPr w:rsidR="008B687E" w:rsidRPr="00BD13DF">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D2BE4" w14:textId="77777777" w:rsidR="002727BF" w:rsidRDefault="002727BF" w:rsidP="00825C29">
      <w:pPr>
        <w:spacing w:after="0" w:line="240" w:lineRule="auto"/>
      </w:pPr>
      <w:r>
        <w:separator/>
      </w:r>
    </w:p>
  </w:endnote>
  <w:endnote w:type="continuationSeparator" w:id="0">
    <w:p w14:paraId="1AC63AE7" w14:textId="77777777" w:rsidR="002727BF" w:rsidRDefault="002727BF" w:rsidP="00825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0F4A3" w14:textId="77777777" w:rsidR="00825C29" w:rsidRPr="00825C29" w:rsidRDefault="00825C29" w:rsidP="00825C29">
    <w:pPr>
      <w:spacing w:after="200" w:line="276" w:lineRule="auto"/>
      <w:rPr>
        <w:rFonts w:ascii="Calibri" w:eastAsia="Calibri" w:hAnsi="Calibri" w:cs="Times New Roman"/>
        <w:lang w:val="es-ES"/>
      </w:rPr>
    </w:pPr>
  </w:p>
  <w:p w14:paraId="1C25E7FC" w14:textId="77777777" w:rsidR="00825C29" w:rsidRPr="00825C29" w:rsidRDefault="00825C29" w:rsidP="00825C29">
    <w:pPr>
      <w:pBdr>
        <w:top w:val="thinThickSmallGap" w:sz="24" w:space="1" w:color="823B0B"/>
      </w:pBdr>
      <w:tabs>
        <w:tab w:val="center" w:pos="4419"/>
        <w:tab w:val="right" w:pos="8838"/>
      </w:tabs>
      <w:spacing w:after="0" w:line="240" w:lineRule="auto"/>
      <w:jc w:val="center"/>
      <w:rPr>
        <w:rFonts w:ascii="Arial Narrow" w:eastAsia="Calibri" w:hAnsi="Arial Narrow" w:cs="Times New Roman"/>
        <w:sz w:val="16"/>
        <w:szCs w:val="16"/>
        <w:lang w:val="es-ES"/>
      </w:rPr>
    </w:pPr>
    <w:r w:rsidRPr="00825C29">
      <w:rPr>
        <w:rFonts w:ascii="Arial Narrow" w:eastAsia="Calibri" w:hAnsi="Arial Narrow" w:cs="Times New Roman"/>
        <w:sz w:val="16"/>
        <w:szCs w:val="16"/>
        <w:lang w:val="es-ES"/>
      </w:rPr>
      <w:t xml:space="preserve"> Honorable Representante Edward David Rodríguez </w:t>
    </w:r>
    <w:proofErr w:type="spellStart"/>
    <w:r w:rsidRPr="00825C29">
      <w:rPr>
        <w:rFonts w:ascii="Arial Narrow" w:eastAsia="Calibri" w:hAnsi="Arial Narrow" w:cs="Times New Roman"/>
        <w:sz w:val="16"/>
        <w:szCs w:val="16"/>
        <w:lang w:val="es-ES"/>
      </w:rPr>
      <w:t>Rodríguez</w:t>
    </w:r>
    <w:proofErr w:type="spellEnd"/>
    <w:r w:rsidRPr="00825C29">
      <w:rPr>
        <w:rFonts w:ascii="Arial Narrow" w:eastAsia="Calibri" w:hAnsi="Arial Narrow" w:cs="Times New Roman"/>
        <w:sz w:val="16"/>
        <w:szCs w:val="16"/>
        <w:lang w:val="es-ES"/>
      </w:rPr>
      <w:t>.</w:t>
    </w:r>
  </w:p>
  <w:p w14:paraId="75416F0F" w14:textId="77777777" w:rsidR="00825C29" w:rsidRPr="00825C29" w:rsidRDefault="00825C29" w:rsidP="00825C29">
    <w:pPr>
      <w:pBdr>
        <w:top w:val="thinThickSmallGap" w:sz="24" w:space="1" w:color="823B0B"/>
      </w:pBdr>
      <w:tabs>
        <w:tab w:val="center" w:pos="4419"/>
        <w:tab w:val="right" w:pos="8838"/>
      </w:tabs>
      <w:spacing w:after="0" w:line="240" w:lineRule="auto"/>
      <w:jc w:val="center"/>
      <w:rPr>
        <w:rFonts w:ascii="Arial Narrow" w:eastAsia="Calibri" w:hAnsi="Arial Narrow" w:cs="Times New Roman"/>
        <w:sz w:val="16"/>
        <w:szCs w:val="16"/>
        <w:lang w:val="es-ES"/>
      </w:rPr>
    </w:pPr>
    <w:r w:rsidRPr="00825C29">
      <w:rPr>
        <w:rFonts w:ascii="Arial Narrow" w:eastAsia="Calibri" w:hAnsi="Arial Narrow" w:cs="Times New Roman"/>
        <w:sz w:val="16"/>
        <w:szCs w:val="16"/>
        <w:lang w:val="es-ES"/>
      </w:rPr>
      <w:t>Cámara de Representantes</w:t>
    </w:r>
  </w:p>
  <w:p w14:paraId="7C2BE38D" w14:textId="7E3821CC" w:rsidR="00825C29" w:rsidRPr="00825C29" w:rsidRDefault="00825C29" w:rsidP="00825C29">
    <w:pPr>
      <w:tabs>
        <w:tab w:val="center" w:pos="4419"/>
        <w:tab w:val="right" w:pos="8838"/>
      </w:tabs>
      <w:spacing w:after="0" w:line="240" w:lineRule="auto"/>
      <w:jc w:val="center"/>
      <w:rPr>
        <w:rFonts w:ascii="Calibri" w:eastAsia="Calibri" w:hAnsi="Calibri" w:cs="Times New Roman"/>
        <w:lang w:val="es-ES"/>
      </w:rPr>
    </w:pPr>
    <w:r w:rsidRPr="00825C29">
      <w:rPr>
        <w:rFonts w:ascii="Arial Narrow" w:eastAsia="Calibri" w:hAnsi="Arial Narrow" w:cs="Times New Roman"/>
        <w:sz w:val="16"/>
        <w:szCs w:val="16"/>
        <w:lang w:val="es-ES"/>
      </w:rPr>
      <w:t>Carrera 7 No 8-68, oficina 435 B Tel:  3823793- 3824433- Fax:3823794 Email: edrcamara@gmail.com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8205C" w14:textId="77777777" w:rsidR="002727BF" w:rsidRDefault="002727BF" w:rsidP="00825C29">
      <w:pPr>
        <w:spacing w:after="0" w:line="240" w:lineRule="auto"/>
      </w:pPr>
      <w:r>
        <w:separator/>
      </w:r>
    </w:p>
  </w:footnote>
  <w:footnote w:type="continuationSeparator" w:id="0">
    <w:p w14:paraId="32A4955B" w14:textId="77777777" w:rsidR="002727BF" w:rsidRDefault="002727BF" w:rsidP="00825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8B2AA" w14:textId="441CC67A" w:rsidR="00825C29" w:rsidRDefault="00825C29">
    <w:pPr>
      <w:pStyle w:val="Encabezado"/>
    </w:pPr>
    <w:r>
      <w:rPr>
        <w:noProof/>
        <w:color w:val="000000"/>
      </w:rPr>
      <w:drawing>
        <wp:inline distT="0" distB="0" distL="0" distR="0" wp14:anchorId="5BE8E009" wp14:editId="0FE7B222">
          <wp:extent cx="2487295" cy="768350"/>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768350"/>
                  </a:xfrm>
                  <a:prstGeom prst="rect">
                    <a:avLst/>
                  </a:prstGeom>
                  <a:noFill/>
                </pic:spPr>
              </pic:pic>
            </a:graphicData>
          </a:graphic>
        </wp:inline>
      </w:drawing>
    </w:r>
    <w:r>
      <w:t xml:space="preserve">                               </w:t>
    </w:r>
    <w:r>
      <w:rPr>
        <w:noProof/>
        <w:color w:val="000000"/>
      </w:rPr>
      <w:drawing>
        <wp:inline distT="0" distB="0" distL="0" distR="0" wp14:anchorId="4C32C03F" wp14:editId="52060CBF">
          <wp:extent cx="2121535" cy="6946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53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A35BC"/>
    <w:multiLevelType w:val="hybridMultilevel"/>
    <w:tmpl w:val="65D29E4E"/>
    <w:lvl w:ilvl="0" w:tplc="152EF714">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1C02DF1"/>
    <w:multiLevelType w:val="multilevel"/>
    <w:tmpl w:val="5678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B28AF"/>
    <w:multiLevelType w:val="hybridMultilevel"/>
    <w:tmpl w:val="EB9671FC"/>
    <w:lvl w:ilvl="0" w:tplc="040A0003">
      <w:start w:val="1"/>
      <w:numFmt w:val="bullet"/>
      <w:lvlText w:val="o"/>
      <w:lvlJc w:val="left"/>
      <w:pPr>
        <w:ind w:left="1004" w:hanging="360"/>
      </w:pPr>
      <w:rPr>
        <w:rFonts w:ascii="Courier New" w:hAnsi="Courier New" w:cs="Courier New"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3" w15:restartNumberingAfterBreak="0">
    <w:nsid w:val="252A0807"/>
    <w:multiLevelType w:val="multilevel"/>
    <w:tmpl w:val="30243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BF1DBA"/>
    <w:multiLevelType w:val="hybridMultilevel"/>
    <w:tmpl w:val="49A472B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677170F"/>
    <w:multiLevelType w:val="hybridMultilevel"/>
    <w:tmpl w:val="9FDEA3E6"/>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6" w15:restartNumberingAfterBreak="0">
    <w:nsid w:val="636C6A30"/>
    <w:multiLevelType w:val="hybridMultilevel"/>
    <w:tmpl w:val="225A4D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C0C1B31"/>
    <w:multiLevelType w:val="multilevel"/>
    <w:tmpl w:val="D124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3"/>
  </w:num>
  <w:num w:numId="5">
    <w:abstractNumId w:val="1"/>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C7"/>
    <w:rsid w:val="00044DF7"/>
    <w:rsid w:val="00111944"/>
    <w:rsid w:val="00173106"/>
    <w:rsid w:val="002727BF"/>
    <w:rsid w:val="002F0288"/>
    <w:rsid w:val="002F12D5"/>
    <w:rsid w:val="00317581"/>
    <w:rsid w:val="00321131"/>
    <w:rsid w:val="003C1BEE"/>
    <w:rsid w:val="00501C78"/>
    <w:rsid w:val="005A2BFA"/>
    <w:rsid w:val="005C35A3"/>
    <w:rsid w:val="005C3BDC"/>
    <w:rsid w:val="00610169"/>
    <w:rsid w:val="0065264B"/>
    <w:rsid w:val="00673EBF"/>
    <w:rsid w:val="00712D33"/>
    <w:rsid w:val="007A767F"/>
    <w:rsid w:val="00825C29"/>
    <w:rsid w:val="008323E7"/>
    <w:rsid w:val="008B687E"/>
    <w:rsid w:val="00977C20"/>
    <w:rsid w:val="009E3054"/>
    <w:rsid w:val="009E587B"/>
    <w:rsid w:val="00A91D0F"/>
    <w:rsid w:val="00AE6D74"/>
    <w:rsid w:val="00B66DA9"/>
    <w:rsid w:val="00BD13DF"/>
    <w:rsid w:val="00C11D14"/>
    <w:rsid w:val="00C16E1C"/>
    <w:rsid w:val="00C56AF4"/>
    <w:rsid w:val="00C606C7"/>
    <w:rsid w:val="00C72BD3"/>
    <w:rsid w:val="00CA1126"/>
    <w:rsid w:val="00D72CDC"/>
    <w:rsid w:val="00E516E7"/>
    <w:rsid w:val="00F677C1"/>
    <w:rsid w:val="00FA25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B49F"/>
  <w15:chartTrackingRefBased/>
  <w15:docId w15:val="{6AD20C7E-4092-43A7-893E-C11CA222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6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7310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61016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0169"/>
    <w:rPr>
      <w:rFonts w:ascii="Segoe UI" w:hAnsi="Segoe UI" w:cs="Segoe UI"/>
      <w:sz w:val="18"/>
      <w:szCs w:val="18"/>
    </w:rPr>
  </w:style>
  <w:style w:type="paragraph" w:styleId="Prrafodelista">
    <w:name w:val="List Paragraph"/>
    <w:basedOn w:val="Normal"/>
    <w:uiPriority w:val="1"/>
    <w:qFormat/>
    <w:rsid w:val="009E3054"/>
    <w:pPr>
      <w:spacing w:after="0" w:line="240" w:lineRule="auto"/>
      <w:ind w:left="720"/>
      <w:contextualSpacing/>
    </w:pPr>
    <w:rPr>
      <w:rFonts w:eastAsiaTheme="minorEastAsia"/>
      <w:sz w:val="24"/>
      <w:szCs w:val="24"/>
      <w:lang w:val="es-ES_tradnl" w:eastAsia="es-ES"/>
    </w:rPr>
  </w:style>
  <w:style w:type="paragraph" w:styleId="Encabezado">
    <w:name w:val="header"/>
    <w:basedOn w:val="Normal"/>
    <w:link w:val="EncabezadoCar"/>
    <w:uiPriority w:val="99"/>
    <w:unhideWhenUsed/>
    <w:rsid w:val="00825C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5C29"/>
  </w:style>
  <w:style w:type="paragraph" w:styleId="Piedepgina">
    <w:name w:val="footer"/>
    <w:basedOn w:val="Normal"/>
    <w:link w:val="PiedepginaCar"/>
    <w:uiPriority w:val="99"/>
    <w:unhideWhenUsed/>
    <w:rsid w:val="00825C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5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2024374">
      <w:bodyDiv w:val="1"/>
      <w:marLeft w:val="0"/>
      <w:marRight w:val="0"/>
      <w:marTop w:val="0"/>
      <w:marBottom w:val="0"/>
      <w:divBdr>
        <w:top w:val="none" w:sz="0" w:space="0" w:color="auto"/>
        <w:left w:val="none" w:sz="0" w:space="0" w:color="auto"/>
        <w:bottom w:val="none" w:sz="0" w:space="0" w:color="auto"/>
        <w:right w:val="none" w:sz="0" w:space="0" w:color="auto"/>
      </w:divBdr>
      <w:divsChild>
        <w:div w:id="394743841">
          <w:marLeft w:val="0"/>
          <w:marRight w:val="0"/>
          <w:marTop w:val="0"/>
          <w:marBottom w:val="0"/>
          <w:divBdr>
            <w:top w:val="none" w:sz="0" w:space="0" w:color="auto"/>
            <w:left w:val="none" w:sz="0" w:space="0" w:color="auto"/>
            <w:bottom w:val="none" w:sz="0" w:space="0" w:color="auto"/>
            <w:right w:val="none" w:sz="0" w:space="0" w:color="auto"/>
          </w:divBdr>
          <w:divsChild>
            <w:div w:id="323625083">
              <w:marLeft w:val="0"/>
              <w:marRight w:val="0"/>
              <w:marTop w:val="0"/>
              <w:marBottom w:val="0"/>
              <w:divBdr>
                <w:top w:val="none" w:sz="0" w:space="0" w:color="auto"/>
                <w:left w:val="none" w:sz="0" w:space="0" w:color="auto"/>
                <w:bottom w:val="none" w:sz="0" w:space="0" w:color="auto"/>
                <w:right w:val="none" w:sz="0" w:space="0" w:color="auto"/>
              </w:divBdr>
              <w:divsChild>
                <w:div w:id="14789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0797">
          <w:marLeft w:val="0"/>
          <w:marRight w:val="0"/>
          <w:marTop w:val="0"/>
          <w:marBottom w:val="0"/>
          <w:divBdr>
            <w:top w:val="none" w:sz="0" w:space="0" w:color="auto"/>
            <w:left w:val="none" w:sz="0" w:space="0" w:color="auto"/>
            <w:bottom w:val="none" w:sz="0" w:space="0" w:color="auto"/>
            <w:right w:val="none" w:sz="0" w:space="0" w:color="auto"/>
          </w:divBdr>
          <w:divsChild>
            <w:div w:id="1527325285">
              <w:marLeft w:val="0"/>
              <w:marRight w:val="0"/>
              <w:marTop w:val="0"/>
              <w:marBottom w:val="0"/>
              <w:divBdr>
                <w:top w:val="none" w:sz="0" w:space="0" w:color="auto"/>
                <w:left w:val="none" w:sz="0" w:space="0" w:color="auto"/>
                <w:bottom w:val="none" w:sz="0" w:space="0" w:color="auto"/>
                <w:right w:val="none" w:sz="0" w:space="0" w:color="auto"/>
              </w:divBdr>
              <w:divsChild>
                <w:div w:id="1587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file:///\\Users\Julio\Dropbox\MME\8.%20Indicadores\Indicadores%20(Dropbox).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Users\Julio\Dropbox\MME\8.%20Indicadores\Indicadores%20(Dropbo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1" i="0" u="none" strike="noStrike" kern="1200" cap="none" spc="0" normalizeH="0" baseline="0">
                <a:solidFill>
                  <a:schemeClr val="tx1"/>
                </a:solidFill>
                <a:latin typeface="+mj-lt"/>
                <a:ea typeface="+mj-ea"/>
                <a:cs typeface="+mj-cs"/>
              </a:defRPr>
            </a:pPr>
            <a:r>
              <a:rPr lang="es-ES_tradnl"/>
              <a:t>Reservas de crudo</a:t>
            </a:r>
          </a:p>
        </c:rich>
      </c:tx>
      <c:layout>
        <c:manualLayout>
          <c:xMode val="edge"/>
          <c:yMode val="edge"/>
          <c:x val="0.3533526730211356"/>
          <c:y val="0"/>
        </c:manualLayout>
      </c:layout>
      <c:overlay val="0"/>
      <c:spPr>
        <a:noFill/>
        <a:ln>
          <a:noFill/>
        </a:ln>
        <a:effectLst/>
      </c:spPr>
      <c:txPr>
        <a:bodyPr rot="0" spcFirstLastPara="1" vertOverflow="ellipsis" vert="horz" wrap="square" anchor="ctr" anchorCtr="1"/>
        <a:lstStyle/>
        <a:p>
          <a:pPr>
            <a:defRPr sz="960" b="1" i="0" u="none" strike="noStrike" kern="1200" cap="none" spc="0" normalizeH="0" baseline="0">
              <a:solidFill>
                <a:schemeClr val="tx1"/>
              </a:solidFill>
              <a:latin typeface="+mj-lt"/>
              <a:ea typeface="+mj-ea"/>
              <a:cs typeface="+mj-cs"/>
            </a:defRPr>
          </a:pPr>
          <a:endParaRPr lang="es-CO"/>
        </a:p>
      </c:txPr>
    </c:title>
    <c:autoTitleDeleted val="0"/>
    <c:plotArea>
      <c:layout>
        <c:manualLayout>
          <c:layoutTarget val="inner"/>
          <c:xMode val="edge"/>
          <c:yMode val="edge"/>
          <c:x val="0.16483707080474591"/>
          <c:y val="8.2214928178062224E-2"/>
          <c:w val="0.7210882411628371"/>
          <c:h val="0.69048996503064752"/>
        </c:manualLayout>
      </c:layout>
      <c:barChart>
        <c:barDir val="col"/>
        <c:grouping val="clustered"/>
        <c:varyColors val="0"/>
        <c:ser>
          <c:idx val="0"/>
          <c:order val="0"/>
          <c:tx>
            <c:strRef>
              <c:f>'Reservas Crudo'!$B$1</c:f>
              <c:strCache>
                <c:ptCount val="1"/>
                <c:pt idx="0">
                  <c:v>Reservas   </c:v>
                </c:pt>
              </c:strCache>
            </c:strRef>
          </c:tx>
          <c:spPr>
            <a:solidFill>
              <a:schemeClr val="accent1"/>
            </a:solidFill>
            <a:ln>
              <a:solidFill>
                <a:schemeClr val="accent1"/>
              </a:solidFill>
            </a:ln>
            <a:effectLst/>
          </c:spPr>
          <c:invertIfNegative val="0"/>
          <c:dPt>
            <c:idx val="0"/>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1-0A8D-42B6-B2F2-D3CE8E6CBF4A}"/>
              </c:ext>
            </c:extLst>
          </c:dPt>
          <c:dPt>
            <c:idx val="1"/>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3-0A8D-42B6-B2F2-D3CE8E6CBF4A}"/>
              </c:ext>
            </c:extLst>
          </c:dPt>
          <c:dPt>
            <c:idx val="2"/>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5-0A8D-42B6-B2F2-D3CE8E6CBF4A}"/>
              </c:ext>
            </c:extLst>
          </c:dPt>
          <c:dPt>
            <c:idx val="3"/>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7-0A8D-42B6-B2F2-D3CE8E6CBF4A}"/>
              </c:ext>
            </c:extLst>
          </c:dPt>
          <c:dPt>
            <c:idx val="4"/>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9-0A8D-42B6-B2F2-D3CE8E6CBF4A}"/>
              </c:ext>
            </c:extLst>
          </c:dPt>
          <c:dPt>
            <c:idx val="5"/>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B-0A8D-42B6-B2F2-D3CE8E6CBF4A}"/>
              </c:ext>
            </c:extLst>
          </c:dPt>
          <c:dPt>
            <c:idx val="6"/>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D-0A8D-42B6-B2F2-D3CE8E6CBF4A}"/>
              </c:ext>
            </c:extLst>
          </c:dPt>
          <c:dPt>
            <c:idx val="7"/>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0F-0A8D-42B6-B2F2-D3CE8E6CBF4A}"/>
              </c:ext>
            </c:extLst>
          </c:dPt>
          <c:dPt>
            <c:idx val="8"/>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1-0A8D-42B6-B2F2-D3CE8E6CBF4A}"/>
              </c:ext>
            </c:extLst>
          </c:dPt>
          <c:dPt>
            <c:idx val="9"/>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3-0A8D-42B6-B2F2-D3CE8E6CBF4A}"/>
              </c:ext>
            </c:extLst>
          </c:dPt>
          <c:dPt>
            <c:idx val="10"/>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5-0A8D-42B6-B2F2-D3CE8E6CBF4A}"/>
              </c:ext>
            </c:extLst>
          </c:dPt>
          <c:dPt>
            <c:idx val="11"/>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7-0A8D-42B6-B2F2-D3CE8E6CBF4A}"/>
              </c:ext>
            </c:extLst>
          </c:dPt>
          <c:dPt>
            <c:idx val="12"/>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9-0A8D-42B6-B2F2-D3CE8E6CBF4A}"/>
              </c:ext>
            </c:extLst>
          </c:dPt>
          <c:dPt>
            <c:idx val="13"/>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B-0A8D-42B6-B2F2-D3CE8E6CBF4A}"/>
              </c:ext>
            </c:extLst>
          </c:dPt>
          <c:dPt>
            <c:idx val="14"/>
            <c:invertIfNegative val="0"/>
            <c:bubble3D val="0"/>
            <c:spPr>
              <a:solidFill>
                <a:schemeClr val="accent1"/>
              </a:solidFill>
              <a:ln>
                <a:solidFill>
                  <a:schemeClr val="accent1"/>
                </a:solidFill>
              </a:ln>
              <a:effectLst/>
            </c:spPr>
            <c:extLst>
              <c:ext xmlns:c16="http://schemas.microsoft.com/office/drawing/2014/chart" uri="{C3380CC4-5D6E-409C-BE32-E72D297353CC}">
                <c16:uniqueId val="{0000001D-0A8D-42B6-B2F2-D3CE8E6CBF4A}"/>
              </c:ext>
            </c:extLst>
          </c:dPt>
          <c:dLbls>
            <c:dLbl>
              <c:idx val="0"/>
              <c:delete val="1"/>
              <c:extLst>
                <c:ext xmlns:c15="http://schemas.microsoft.com/office/drawing/2012/chart" uri="{CE6537A1-D6FC-4f65-9D91-7224C49458BB}"/>
                <c:ext xmlns:c16="http://schemas.microsoft.com/office/drawing/2014/chart" uri="{C3380CC4-5D6E-409C-BE32-E72D297353CC}">
                  <c16:uniqueId val="{00000001-0A8D-42B6-B2F2-D3CE8E6CBF4A}"/>
                </c:ext>
              </c:extLst>
            </c:dLbl>
            <c:dLbl>
              <c:idx val="1"/>
              <c:delete val="1"/>
              <c:extLst>
                <c:ext xmlns:c15="http://schemas.microsoft.com/office/drawing/2012/chart" uri="{CE6537A1-D6FC-4f65-9D91-7224C49458BB}"/>
                <c:ext xmlns:c16="http://schemas.microsoft.com/office/drawing/2014/chart" uri="{C3380CC4-5D6E-409C-BE32-E72D297353CC}">
                  <c16:uniqueId val="{00000003-0A8D-42B6-B2F2-D3CE8E6CBF4A}"/>
                </c:ext>
              </c:extLst>
            </c:dLbl>
            <c:dLbl>
              <c:idx val="2"/>
              <c:delete val="1"/>
              <c:extLst>
                <c:ext xmlns:c15="http://schemas.microsoft.com/office/drawing/2012/chart" uri="{CE6537A1-D6FC-4f65-9D91-7224C49458BB}"/>
                <c:ext xmlns:c16="http://schemas.microsoft.com/office/drawing/2014/chart" uri="{C3380CC4-5D6E-409C-BE32-E72D297353CC}">
                  <c16:uniqueId val="{00000005-0A8D-42B6-B2F2-D3CE8E6CBF4A}"/>
                </c:ext>
              </c:extLst>
            </c:dLbl>
            <c:dLbl>
              <c:idx val="3"/>
              <c:delete val="1"/>
              <c:extLst>
                <c:ext xmlns:c15="http://schemas.microsoft.com/office/drawing/2012/chart" uri="{CE6537A1-D6FC-4f65-9D91-7224C49458BB}"/>
                <c:ext xmlns:c16="http://schemas.microsoft.com/office/drawing/2014/chart" uri="{C3380CC4-5D6E-409C-BE32-E72D297353CC}">
                  <c16:uniqueId val="{00000007-0A8D-42B6-B2F2-D3CE8E6CBF4A}"/>
                </c:ext>
              </c:extLst>
            </c:dLbl>
            <c:dLbl>
              <c:idx val="4"/>
              <c:delete val="1"/>
              <c:extLst>
                <c:ext xmlns:c15="http://schemas.microsoft.com/office/drawing/2012/chart" uri="{CE6537A1-D6FC-4f65-9D91-7224C49458BB}"/>
                <c:ext xmlns:c16="http://schemas.microsoft.com/office/drawing/2014/chart" uri="{C3380CC4-5D6E-409C-BE32-E72D297353CC}">
                  <c16:uniqueId val="{00000009-0A8D-42B6-B2F2-D3CE8E6CBF4A}"/>
                </c:ext>
              </c:extLst>
            </c:dLbl>
            <c:dLbl>
              <c:idx val="5"/>
              <c:delete val="1"/>
              <c:extLst>
                <c:ext xmlns:c15="http://schemas.microsoft.com/office/drawing/2012/chart" uri="{CE6537A1-D6FC-4f65-9D91-7224C49458BB}"/>
                <c:ext xmlns:c16="http://schemas.microsoft.com/office/drawing/2014/chart" uri="{C3380CC4-5D6E-409C-BE32-E72D297353CC}">
                  <c16:uniqueId val="{0000000B-0A8D-42B6-B2F2-D3CE8E6CBF4A}"/>
                </c:ext>
              </c:extLst>
            </c:dLbl>
            <c:dLbl>
              <c:idx val="6"/>
              <c:delete val="1"/>
              <c:extLst>
                <c:ext xmlns:c15="http://schemas.microsoft.com/office/drawing/2012/chart" uri="{CE6537A1-D6FC-4f65-9D91-7224C49458BB}"/>
                <c:ext xmlns:c16="http://schemas.microsoft.com/office/drawing/2014/chart" uri="{C3380CC4-5D6E-409C-BE32-E72D297353CC}">
                  <c16:uniqueId val="{0000000D-0A8D-42B6-B2F2-D3CE8E6CBF4A}"/>
                </c:ext>
              </c:extLst>
            </c:dLbl>
            <c:dLbl>
              <c:idx val="8"/>
              <c:delete val="1"/>
              <c:extLst>
                <c:ext xmlns:c15="http://schemas.microsoft.com/office/drawing/2012/chart" uri="{CE6537A1-D6FC-4f65-9D91-7224C49458BB}"/>
                <c:ext xmlns:c16="http://schemas.microsoft.com/office/drawing/2014/chart" uri="{C3380CC4-5D6E-409C-BE32-E72D297353CC}">
                  <c16:uniqueId val="{00000011-0A8D-42B6-B2F2-D3CE8E6CBF4A}"/>
                </c:ext>
              </c:extLst>
            </c:dLbl>
            <c:dLbl>
              <c:idx val="9"/>
              <c:delete val="1"/>
              <c:extLst>
                <c:ext xmlns:c15="http://schemas.microsoft.com/office/drawing/2012/chart" uri="{CE6537A1-D6FC-4f65-9D91-7224C49458BB}"/>
                <c:ext xmlns:c16="http://schemas.microsoft.com/office/drawing/2014/chart" uri="{C3380CC4-5D6E-409C-BE32-E72D297353CC}">
                  <c16:uniqueId val="{00000013-0A8D-42B6-B2F2-D3CE8E6CBF4A}"/>
                </c:ext>
              </c:extLst>
            </c:dLbl>
            <c:dLbl>
              <c:idx val="11"/>
              <c:delete val="1"/>
              <c:extLst>
                <c:ext xmlns:c15="http://schemas.microsoft.com/office/drawing/2012/chart" uri="{CE6537A1-D6FC-4f65-9D91-7224C49458BB}"/>
                <c:ext xmlns:c16="http://schemas.microsoft.com/office/drawing/2014/chart" uri="{C3380CC4-5D6E-409C-BE32-E72D297353CC}">
                  <c16:uniqueId val="{00000017-0A8D-42B6-B2F2-D3CE8E6CBF4A}"/>
                </c:ext>
              </c:extLst>
            </c:dLbl>
            <c:dLbl>
              <c:idx val="13"/>
              <c:layout>
                <c:manualLayout>
                  <c:x val="0"/>
                  <c:y val="-4.00400400400400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0A8D-42B6-B2F2-D3CE8E6CBF4A}"/>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j-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'Reservas Crudo'!$A$89:$A$102</c:f>
              <c:numCache>
                <c:formatCode>0</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'Reservas Crudo'!$B$89:$B$102</c:f>
              <c:numCache>
                <c:formatCode>#,##0</c:formatCode>
                <c:ptCount val="14"/>
                <c:pt idx="0">
                  <c:v>1509.8409130534187</c:v>
                </c:pt>
                <c:pt idx="1">
                  <c:v>1358.2</c:v>
                </c:pt>
                <c:pt idx="2">
                  <c:v>1668</c:v>
                </c:pt>
                <c:pt idx="3">
                  <c:v>1988</c:v>
                </c:pt>
                <c:pt idx="4">
                  <c:v>2058</c:v>
                </c:pt>
                <c:pt idx="5">
                  <c:v>2259</c:v>
                </c:pt>
                <c:pt idx="6">
                  <c:v>2377</c:v>
                </c:pt>
                <c:pt idx="7">
                  <c:v>2445</c:v>
                </c:pt>
                <c:pt idx="8">
                  <c:v>2308</c:v>
                </c:pt>
                <c:pt idx="9">
                  <c:v>2002</c:v>
                </c:pt>
                <c:pt idx="10">
                  <c:v>1665</c:v>
                </c:pt>
                <c:pt idx="11">
                  <c:v>1782</c:v>
                </c:pt>
                <c:pt idx="12">
                  <c:v>1958</c:v>
                </c:pt>
                <c:pt idx="13">
                  <c:v>2036</c:v>
                </c:pt>
              </c:numCache>
            </c:numRef>
          </c:val>
          <c:extLst>
            <c:ext xmlns:c16="http://schemas.microsoft.com/office/drawing/2014/chart" uri="{C3380CC4-5D6E-409C-BE32-E72D297353CC}">
              <c16:uniqueId val="{0000001E-0A8D-42B6-B2F2-D3CE8E6CBF4A}"/>
            </c:ext>
          </c:extLst>
        </c:ser>
        <c:dLbls>
          <c:showLegendKey val="0"/>
          <c:showVal val="0"/>
          <c:showCatName val="0"/>
          <c:showSerName val="0"/>
          <c:showPercent val="0"/>
          <c:showBubbleSize val="0"/>
        </c:dLbls>
        <c:gapWidth val="110"/>
        <c:overlap val="-43"/>
        <c:axId val="-1672868416"/>
        <c:axId val="-1672865696"/>
      </c:barChart>
      <c:lineChart>
        <c:grouping val="standard"/>
        <c:varyColors val="0"/>
        <c:ser>
          <c:idx val="1"/>
          <c:order val="1"/>
          <c:tx>
            <c:strRef>
              <c:f>'Reservas Crudo'!$C$1</c:f>
              <c:strCache>
                <c:ptCount val="1"/>
                <c:pt idx="0">
                  <c:v>Reservas / Producción (eje der.)</c:v>
                </c:pt>
              </c:strCache>
            </c:strRef>
          </c:tx>
          <c:spPr>
            <a:ln w="25400" cap="rnd">
              <a:solidFill>
                <a:srgbClr val="C00000"/>
              </a:solidFill>
              <a:round/>
            </a:ln>
            <a:effectLst/>
          </c:spPr>
          <c:marker>
            <c:symbol val="none"/>
          </c:marker>
          <c:dLbls>
            <c:dLbl>
              <c:idx val="6"/>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0A8D-42B6-B2F2-D3CE8E6CBF4A}"/>
                </c:ext>
              </c:extLst>
            </c:dLbl>
            <c:dLbl>
              <c:idx val="10"/>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0-0A8D-42B6-B2F2-D3CE8E6CBF4A}"/>
                </c:ext>
              </c:extLst>
            </c:dLbl>
            <c:dLbl>
              <c:idx val="13"/>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0A8D-42B6-B2F2-D3CE8E6CBF4A}"/>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j-lt"/>
                    <a:ea typeface="+mn-ea"/>
                    <a:cs typeface="+mn-cs"/>
                  </a:defRPr>
                </a:pPr>
                <a:endParaRPr lang="es-CO"/>
              </a:p>
            </c:tx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'Reservas Crudo'!$A$89:$A$102</c:f>
              <c:numCache>
                <c:formatCode>0</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'Reservas Crudo'!$C$89:$C$102</c:f>
              <c:numCache>
                <c:formatCode>#,##0.0</c:formatCode>
                <c:ptCount val="14"/>
                <c:pt idx="0">
                  <c:v>7.8206502641374112</c:v>
                </c:pt>
                <c:pt idx="1">
                  <c:v>7.00183627976579</c:v>
                </c:pt>
                <c:pt idx="2">
                  <c:v>7.7702872122614357</c:v>
                </c:pt>
                <c:pt idx="3">
                  <c:v>8.1220164530934547</c:v>
                </c:pt>
                <c:pt idx="4">
                  <c:v>7.1789522017185021</c:v>
                </c:pt>
                <c:pt idx="5">
                  <c:v>6.7619827026876189</c:v>
                </c:pt>
                <c:pt idx="6">
                  <c:v>6.9</c:v>
                </c:pt>
                <c:pt idx="7">
                  <c:v>6.6</c:v>
                </c:pt>
                <c:pt idx="8">
                  <c:v>6.4</c:v>
                </c:pt>
                <c:pt idx="9">
                  <c:v>5.5</c:v>
                </c:pt>
                <c:pt idx="10">
                  <c:v>5.0999999999999996</c:v>
                </c:pt>
                <c:pt idx="11">
                  <c:v>5.7</c:v>
                </c:pt>
                <c:pt idx="12">
                  <c:v>6.2</c:v>
                </c:pt>
                <c:pt idx="13">
                  <c:v>6.3</c:v>
                </c:pt>
              </c:numCache>
            </c:numRef>
          </c:val>
          <c:smooth val="0"/>
          <c:extLst>
            <c:ext xmlns:c16="http://schemas.microsoft.com/office/drawing/2014/chart" uri="{C3380CC4-5D6E-409C-BE32-E72D297353CC}">
              <c16:uniqueId val="{00000022-0A8D-42B6-B2F2-D3CE8E6CBF4A}"/>
            </c:ext>
          </c:extLst>
        </c:ser>
        <c:dLbls>
          <c:showLegendKey val="0"/>
          <c:showVal val="0"/>
          <c:showCatName val="0"/>
          <c:showSerName val="0"/>
          <c:showPercent val="0"/>
          <c:showBubbleSize val="0"/>
        </c:dLbls>
        <c:marker val="1"/>
        <c:smooth val="0"/>
        <c:axId val="-1672867872"/>
        <c:axId val="-1672872224"/>
      </c:lineChart>
      <c:catAx>
        <c:axId val="-1672868416"/>
        <c:scaling>
          <c:orientation val="minMax"/>
        </c:scaling>
        <c:delete val="0"/>
        <c:axPos val="b"/>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5400000" spcFirstLastPara="1" vertOverflow="ellipsis" wrap="square" anchor="ctr" anchorCtr="1"/>
          <a:lstStyle/>
          <a:p>
            <a:pPr>
              <a:defRPr sz="800" b="0" i="0" u="none" strike="noStrike" kern="1200" cap="none" spc="0" normalizeH="0" baseline="0">
                <a:solidFill>
                  <a:schemeClr val="tx1"/>
                </a:solidFill>
                <a:latin typeface="+mj-lt"/>
                <a:ea typeface="+mn-ea"/>
                <a:cs typeface="+mn-cs"/>
              </a:defRPr>
            </a:pPr>
            <a:endParaRPr lang="es-CO"/>
          </a:p>
        </c:txPr>
        <c:crossAx val="-1672865696"/>
        <c:crosses val="autoZero"/>
        <c:auto val="1"/>
        <c:lblAlgn val="ctr"/>
        <c:lblOffset val="100"/>
        <c:noMultiLvlLbl val="0"/>
      </c:catAx>
      <c:valAx>
        <c:axId val="-1672865696"/>
        <c:scaling>
          <c:orientation val="minMax"/>
        </c:scaling>
        <c:delete val="0"/>
        <c:axPos val="l"/>
        <c:title>
          <c:tx>
            <c:rich>
              <a:bodyPr rot="-5400000" spcFirstLastPara="1" vertOverflow="ellipsis" vert="horz" wrap="square" anchor="ctr" anchorCtr="1"/>
              <a:lstStyle/>
              <a:p>
                <a:pPr>
                  <a:defRPr sz="800" b="1" i="0" u="none" strike="noStrike" kern="1200" baseline="0">
                    <a:solidFill>
                      <a:schemeClr val="tx1"/>
                    </a:solidFill>
                    <a:latin typeface="+mj-lt"/>
                    <a:ea typeface="+mn-ea"/>
                    <a:cs typeface="+mn-cs"/>
                  </a:defRPr>
                </a:pPr>
                <a:r>
                  <a:rPr lang="es-CO"/>
                  <a:t>Mmbl</a:t>
                </a:r>
              </a:p>
            </c:rich>
          </c:tx>
          <c:layout>
            <c:manualLayout>
              <c:xMode val="edge"/>
              <c:yMode val="edge"/>
              <c:x val="0"/>
              <c:y val="0.38904614902935042"/>
            </c:manualLayout>
          </c:layout>
          <c:overlay val="0"/>
          <c:spPr>
            <a:noFill/>
            <a:ln>
              <a:noFill/>
            </a:ln>
            <a:effectLst/>
          </c:spPr>
          <c:txPr>
            <a:bodyPr rot="-5400000" spcFirstLastPara="1" vertOverflow="ellipsis" vert="horz" wrap="square" anchor="ctr" anchorCtr="1"/>
            <a:lstStyle/>
            <a:p>
              <a:pPr>
                <a:defRPr sz="800" b="1" i="0" u="none" strike="noStrike" kern="1200" baseline="0">
                  <a:solidFill>
                    <a:schemeClr val="tx1"/>
                  </a:solidFill>
                  <a:latin typeface="+mj-lt"/>
                  <a:ea typeface="+mn-ea"/>
                  <a:cs typeface="+mn-cs"/>
                </a:defRPr>
              </a:pPr>
              <a:endParaRPr lang="es-CO"/>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j-lt"/>
                <a:ea typeface="+mn-ea"/>
                <a:cs typeface="+mn-cs"/>
              </a:defRPr>
            </a:pPr>
            <a:endParaRPr lang="es-CO"/>
          </a:p>
        </c:txPr>
        <c:crossAx val="-1672868416"/>
        <c:crosses val="autoZero"/>
        <c:crossBetween val="between"/>
      </c:valAx>
      <c:valAx>
        <c:axId val="-1672872224"/>
        <c:scaling>
          <c:orientation val="minMax"/>
          <c:max val="9"/>
          <c:min val="4"/>
        </c:scaling>
        <c:delete val="0"/>
        <c:axPos val="r"/>
        <c:title>
          <c:tx>
            <c:rich>
              <a:bodyPr rot="-5400000" spcFirstLastPara="1" vertOverflow="ellipsis" vert="horz" wrap="square" anchor="ctr" anchorCtr="1"/>
              <a:lstStyle/>
              <a:p>
                <a:pPr>
                  <a:defRPr sz="800" b="1" i="0" u="none" strike="noStrike" kern="1200" baseline="0">
                    <a:solidFill>
                      <a:schemeClr val="tx1"/>
                    </a:solidFill>
                    <a:latin typeface="+mj-lt"/>
                    <a:ea typeface="+mn-ea"/>
                    <a:cs typeface="+mn-cs"/>
                  </a:defRPr>
                </a:pPr>
                <a:r>
                  <a:rPr lang="es-ES_tradnl"/>
                  <a:t>Años de autosuficiencia</a:t>
                </a:r>
              </a:p>
            </c:rich>
          </c:tx>
          <c:layout>
            <c:manualLayout>
              <c:xMode val="edge"/>
              <c:yMode val="edge"/>
              <c:x val="0.95023376463906928"/>
              <c:y val="0.15850758895378317"/>
            </c:manualLayout>
          </c:layout>
          <c:overlay val="0"/>
          <c:spPr>
            <a:noFill/>
            <a:ln>
              <a:noFill/>
            </a:ln>
            <a:effectLst/>
          </c:spPr>
          <c:txPr>
            <a:bodyPr rot="-5400000" spcFirstLastPara="1" vertOverflow="ellipsis" vert="horz" wrap="square" anchor="ctr" anchorCtr="1"/>
            <a:lstStyle/>
            <a:p>
              <a:pPr>
                <a:defRPr sz="800" b="1" i="0" u="none" strike="noStrike" kern="1200" baseline="0">
                  <a:solidFill>
                    <a:schemeClr val="tx1"/>
                  </a:solidFill>
                  <a:latin typeface="+mj-lt"/>
                  <a:ea typeface="+mn-ea"/>
                  <a:cs typeface="+mn-cs"/>
                </a:defRPr>
              </a:pPr>
              <a:endParaRPr lang="es-CO"/>
            </a:p>
          </c:txPr>
        </c:title>
        <c:numFmt formatCode="#,##0.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j-lt"/>
                <a:ea typeface="+mn-ea"/>
                <a:cs typeface="+mn-cs"/>
              </a:defRPr>
            </a:pPr>
            <a:endParaRPr lang="es-CO"/>
          </a:p>
        </c:txPr>
        <c:crossAx val="-1672867872"/>
        <c:crosses val="max"/>
        <c:crossBetween val="between"/>
        <c:majorUnit val="1"/>
      </c:valAx>
      <c:catAx>
        <c:axId val="-1672867872"/>
        <c:scaling>
          <c:orientation val="minMax"/>
        </c:scaling>
        <c:delete val="1"/>
        <c:axPos val="b"/>
        <c:numFmt formatCode="0" sourceLinked="1"/>
        <c:majorTickMark val="out"/>
        <c:minorTickMark val="none"/>
        <c:tickLblPos val="nextTo"/>
        <c:crossAx val="-1672872224"/>
        <c:crosses val="autoZero"/>
        <c:auto val="1"/>
        <c:lblAlgn val="ctr"/>
        <c:lblOffset val="100"/>
        <c:noMultiLvlLbl val="0"/>
      </c:catAx>
      <c:spPr>
        <a:pattFill prst="ltDnDiag">
          <a:fgClr>
            <a:srgbClr val="000000">
              <a:alpha val="0"/>
            </a:srgbClr>
          </a:fgClr>
          <a:bgClr>
            <a:srgbClr val="FFFFFF"/>
          </a:bgClr>
        </a:pattFill>
        <a:ln w="25400">
          <a:noFill/>
        </a:ln>
        <a:effectLst/>
      </c:spPr>
    </c:plotArea>
    <c:legend>
      <c:legendPos val="b"/>
      <c:layout>
        <c:manualLayout>
          <c:xMode val="edge"/>
          <c:yMode val="edge"/>
          <c:x val="0"/>
          <c:y val="0.93291191453921107"/>
          <c:w val="1"/>
          <c:h val="6.625988265228309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j-lt"/>
              <a:ea typeface="+mn-ea"/>
              <a:cs typeface="+mn-cs"/>
            </a:defRPr>
          </a:pPr>
          <a:endParaRPr lang="es-CO"/>
        </a:p>
      </c:txPr>
    </c:legend>
    <c:plotVisOnly val="1"/>
    <c:dispBlanksAs val="gap"/>
    <c:showDLblsOverMax val="0"/>
  </c:chart>
  <c:spPr>
    <a:noFill/>
    <a:ln w="9525" cap="flat" cmpd="sng" algn="ctr">
      <a:noFill/>
      <a:round/>
    </a:ln>
    <a:effectLst/>
  </c:spPr>
  <c:txPr>
    <a:bodyPr/>
    <a:lstStyle/>
    <a:p>
      <a:pPr>
        <a:defRPr sz="800">
          <a:solidFill>
            <a:schemeClr val="tx1"/>
          </a:solidFill>
          <a:latin typeface="+mj-lt"/>
        </a:defRPr>
      </a:pPr>
      <a:endParaRPr lang="es-CO"/>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_tradnl"/>
              <a:t>Reservas de gas</a:t>
            </a:r>
          </a:p>
        </c:rich>
      </c:tx>
      <c:layout>
        <c:manualLayout>
          <c:xMode val="edge"/>
          <c:yMode val="edge"/>
          <c:x val="0.37742762583381645"/>
          <c:y val="1.3114754098360656E-2"/>
        </c:manualLayout>
      </c:layout>
      <c:overlay val="0"/>
    </c:title>
    <c:autoTitleDeleted val="0"/>
    <c:plotArea>
      <c:layout>
        <c:manualLayout>
          <c:layoutTarget val="inner"/>
          <c:xMode val="edge"/>
          <c:yMode val="edge"/>
          <c:x val="0.12160151462893792"/>
          <c:y val="0.121800698390962"/>
          <c:w val="0.77067255689031411"/>
          <c:h val="0.63315089712146633"/>
        </c:manualLayout>
      </c:layout>
      <c:barChart>
        <c:barDir val="col"/>
        <c:grouping val="clustered"/>
        <c:varyColors val="0"/>
        <c:ser>
          <c:idx val="0"/>
          <c:order val="0"/>
          <c:tx>
            <c:strRef>
              <c:f>'Reservas Gas'!$F$3</c:f>
              <c:strCache>
                <c:ptCount val="1"/>
                <c:pt idx="0">
                  <c:v>Reservas </c:v>
                </c:pt>
              </c:strCache>
            </c:strRef>
          </c:tx>
          <c:spPr>
            <a:solidFill>
              <a:schemeClr val="accent1"/>
            </a:solidFill>
          </c:spPr>
          <c:invertIfNegative val="0"/>
          <c:dPt>
            <c:idx val="9"/>
            <c:invertIfNegative val="0"/>
            <c:bubble3D val="0"/>
            <c:spPr>
              <a:solidFill>
                <a:schemeClr val="accent1"/>
              </a:solidFill>
            </c:spPr>
            <c:extLst>
              <c:ext xmlns:c16="http://schemas.microsoft.com/office/drawing/2014/chart" uri="{C3380CC4-5D6E-409C-BE32-E72D297353CC}">
                <c16:uniqueId val="{00000001-A478-48A8-8214-3E029F7C559E}"/>
              </c:ext>
            </c:extLst>
          </c:dPt>
          <c:dPt>
            <c:idx val="10"/>
            <c:invertIfNegative val="0"/>
            <c:bubble3D val="0"/>
            <c:spPr>
              <a:solidFill>
                <a:schemeClr val="accent1"/>
              </a:solidFill>
            </c:spPr>
            <c:extLst>
              <c:ext xmlns:c16="http://schemas.microsoft.com/office/drawing/2014/chart" uri="{C3380CC4-5D6E-409C-BE32-E72D297353CC}">
                <c16:uniqueId val="{00000003-A478-48A8-8214-3E029F7C559E}"/>
              </c:ext>
            </c:extLst>
          </c:dPt>
          <c:dPt>
            <c:idx val="11"/>
            <c:invertIfNegative val="0"/>
            <c:bubble3D val="0"/>
            <c:spPr>
              <a:solidFill>
                <a:schemeClr val="accent1"/>
              </a:solidFill>
            </c:spPr>
            <c:extLst>
              <c:ext xmlns:c16="http://schemas.microsoft.com/office/drawing/2014/chart" uri="{C3380CC4-5D6E-409C-BE32-E72D297353CC}">
                <c16:uniqueId val="{00000005-A478-48A8-8214-3E029F7C559E}"/>
              </c:ext>
            </c:extLst>
          </c:dPt>
          <c:dPt>
            <c:idx val="12"/>
            <c:invertIfNegative val="0"/>
            <c:bubble3D val="0"/>
            <c:spPr>
              <a:solidFill>
                <a:schemeClr val="accent1"/>
              </a:solidFill>
            </c:spPr>
            <c:extLst>
              <c:ext xmlns:c16="http://schemas.microsoft.com/office/drawing/2014/chart" uri="{C3380CC4-5D6E-409C-BE32-E72D297353CC}">
                <c16:uniqueId val="{00000007-A478-48A8-8214-3E029F7C559E}"/>
              </c:ext>
            </c:extLst>
          </c:dPt>
          <c:dPt>
            <c:idx val="13"/>
            <c:invertIfNegative val="0"/>
            <c:bubble3D val="0"/>
            <c:spPr>
              <a:solidFill>
                <a:schemeClr val="accent1"/>
              </a:solidFill>
            </c:spPr>
            <c:extLst>
              <c:ext xmlns:c16="http://schemas.microsoft.com/office/drawing/2014/chart" uri="{C3380CC4-5D6E-409C-BE32-E72D297353CC}">
                <c16:uniqueId val="{00000009-A478-48A8-8214-3E029F7C559E}"/>
              </c:ext>
            </c:extLst>
          </c:dPt>
          <c:dPt>
            <c:idx val="14"/>
            <c:invertIfNegative val="0"/>
            <c:bubble3D val="0"/>
            <c:spPr>
              <a:solidFill>
                <a:schemeClr val="accent1"/>
              </a:solidFill>
            </c:spPr>
            <c:extLst>
              <c:ext xmlns:c16="http://schemas.microsoft.com/office/drawing/2014/chart" uri="{C3380CC4-5D6E-409C-BE32-E72D297353CC}">
                <c16:uniqueId val="{0000000B-A478-48A8-8214-3E029F7C559E}"/>
              </c:ext>
            </c:extLst>
          </c:dPt>
          <c:dLbls>
            <c:dLbl>
              <c:idx val="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478-48A8-8214-3E029F7C559E}"/>
                </c:ext>
              </c:extLst>
            </c:dLbl>
            <c:dLbl>
              <c:idx val="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478-48A8-8214-3E029F7C559E}"/>
                </c:ext>
              </c:extLst>
            </c:dLbl>
            <c:dLbl>
              <c:idx val="1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478-48A8-8214-3E029F7C559E}"/>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'Reservas Gas'!$A$25:$A$36</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'Reservas Gas'!$F$25:$F$36</c:f>
              <c:numCache>
                <c:formatCode>_(* #,##0.0_);_(* \(#,##0.0\);_(* "-"??_);_(@_)</c:formatCode>
                <c:ptCount val="12"/>
                <c:pt idx="0">
                  <c:v>4.3840000000000003</c:v>
                </c:pt>
                <c:pt idx="1">
                  <c:v>4.7370000000000001</c:v>
                </c:pt>
                <c:pt idx="2">
                  <c:v>5.4050000000000002</c:v>
                </c:pt>
                <c:pt idx="3">
                  <c:v>5.4630000000000001</c:v>
                </c:pt>
                <c:pt idx="4">
                  <c:v>5.7270000000000003</c:v>
                </c:pt>
                <c:pt idx="5">
                  <c:v>5.508</c:v>
                </c:pt>
                <c:pt idx="6">
                  <c:v>4.758</c:v>
                </c:pt>
                <c:pt idx="7">
                  <c:v>4.3609999999999998</c:v>
                </c:pt>
                <c:pt idx="8">
                  <c:v>4.024</c:v>
                </c:pt>
                <c:pt idx="9">
                  <c:v>3.8959999999999999</c:v>
                </c:pt>
                <c:pt idx="10">
                  <c:v>3.782</c:v>
                </c:pt>
                <c:pt idx="11">
                  <c:v>3.1</c:v>
                </c:pt>
              </c:numCache>
            </c:numRef>
          </c:val>
          <c:extLst>
            <c:ext xmlns:c16="http://schemas.microsoft.com/office/drawing/2014/chart" uri="{C3380CC4-5D6E-409C-BE32-E72D297353CC}">
              <c16:uniqueId val="{0000000D-A478-48A8-8214-3E029F7C559E}"/>
            </c:ext>
          </c:extLst>
        </c:ser>
        <c:dLbls>
          <c:showLegendKey val="0"/>
          <c:showVal val="0"/>
          <c:showCatName val="0"/>
          <c:showSerName val="0"/>
          <c:showPercent val="0"/>
          <c:showBubbleSize val="0"/>
        </c:dLbls>
        <c:gapWidth val="80"/>
        <c:axId val="-1843834064"/>
        <c:axId val="-1843832976"/>
      </c:barChart>
      <c:lineChart>
        <c:grouping val="standard"/>
        <c:varyColors val="0"/>
        <c:ser>
          <c:idx val="1"/>
          <c:order val="1"/>
          <c:tx>
            <c:strRef>
              <c:f>'Reservas Gas'!$G$3</c:f>
              <c:strCache>
                <c:ptCount val="1"/>
                <c:pt idx="0">
                  <c:v>R/P (eje der.)</c:v>
                </c:pt>
              </c:strCache>
            </c:strRef>
          </c:tx>
          <c:spPr>
            <a:ln w="22225">
              <a:solidFill>
                <a:srgbClr val="C00000"/>
              </a:solidFill>
            </a:ln>
          </c:spPr>
          <c:marker>
            <c:symbol val="none"/>
          </c:marker>
          <c:dPt>
            <c:idx val="1"/>
            <c:bubble3D val="0"/>
            <c:spPr>
              <a:ln w="22225">
                <a:solidFill>
                  <a:srgbClr val="C00000"/>
                </a:solidFill>
              </a:ln>
            </c:spPr>
            <c:extLst>
              <c:ext xmlns:c16="http://schemas.microsoft.com/office/drawing/2014/chart" uri="{C3380CC4-5D6E-409C-BE32-E72D297353CC}">
                <c16:uniqueId val="{0000000F-A478-48A8-8214-3E029F7C559E}"/>
              </c:ext>
            </c:extLst>
          </c:dPt>
          <c:dLbls>
            <c:dLbl>
              <c:idx val="9"/>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478-48A8-8214-3E029F7C559E}"/>
                </c:ext>
              </c:extLst>
            </c:dLbl>
            <c:dLbl>
              <c:idx val="10"/>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A478-48A8-8214-3E029F7C559E}"/>
                </c:ext>
              </c:extLst>
            </c:dLbl>
            <c:dLbl>
              <c:idx val="11"/>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A478-48A8-8214-3E029F7C559E}"/>
                </c:ext>
              </c:extLst>
            </c:dLbl>
            <c:spPr>
              <a:noFill/>
              <a:ln>
                <a:noFill/>
              </a:ln>
              <a:effectLst/>
            </c:sp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a:noFill/>
                    </a:ln>
                  </c:spPr>
                </c15:leaderLines>
              </c:ext>
            </c:extLst>
          </c:dLbls>
          <c:cat>
            <c:numRef>
              <c:f>'Reservas Gas'!$A$25:$A$36</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'Reservas Gas'!$G$25:$G$36</c:f>
              <c:numCache>
                <c:formatCode>0.0</c:formatCode>
                <c:ptCount val="12"/>
                <c:pt idx="0">
                  <c:v>22.8</c:v>
                </c:pt>
                <c:pt idx="1">
                  <c:v>13.6</c:v>
                </c:pt>
                <c:pt idx="2">
                  <c:v>14.1</c:v>
                </c:pt>
                <c:pt idx="3">
                  <c:v>13.5</c:v>
                </c:pt>
                <c:pt idx="4">
                  <c:v>12</c:v>
                </c:pt>
                <c:pt idx="5">
                  <c:v>10.5</c:v>
                </c:pt>
                <c:pt idx="6">
                  <c:v>10.3</c:v>
                </c:pt>
                <c:pt idx="7">
                  <c:v>10.5</c:v>
                </c:pt>
                <c:pt idx="8">
                  <c:v>10.3</c:v>
                </c:pt>
                <c:pt idx="9">
                  <c:v>11.7</c:v>
                </c:pt>
                <c:pt idx="10" formatCode="General">
                  <c:v>9.8000000000000007</c:v>
                </c:pt>
                <c:pt idx="11" formatCode="General">
                  <c:v>8</c:v>
                </c:pt>
              </c:numCache>
            </c:numRef>
          </c:val>
          <c:smooth val="0"/>
          <c:extLst>
            <c:ext xmlns:c16="http://schemas.microsoft.com/office/drawing/2014/chart" uri="{C3380CC4-5D6E-409C-BE32-E72D297353CC}">
              <c16:uniqueId val="{00000013-A478-48A8-8214-3E029F7C559E}"/>
            </c:ext>
          </c:extLst>
        </c:ser>
        <c:dLbls>
          <c:showLegendKey val="0"/>
          <c:showVal val="0"/>
          <c:showCatName val="0"/>
          <c:showSerName val="0"/>
          <c:showPercent val="0"/>
          <c:showBubbleSize val="0"/>
        </c:dLbls>
        <c:marker val="1"/>
        <c:smooth val="0"/>
        <c:axId val="-1843831344"/>
        <c:axId val="-1843832432"/>
      </c:lineChart>
      <c:catAx>
        <c:axId val="-1843834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a:lstStyle/>
          <a:p>
            <a:pPr>
              <a:defRPr/>
            </a:pPr>
            <a:endParaRPr lang="es-CO"/>
          </a:p>
        </c:txPr>
        <c:crossAx val="-1843832976"/>
        <c:crosses val="autoZero"/>
        <c:auto val="1"/>
        <c:lblAlgn val="ctr"/>
        <c:lblOffset val="100"/>
        <c:noMultiLvlLbl val="0"/>
      </c:catAx>
      <c:valAx>
        <c:axId val="-1843832976"/>
        <c:scaling>
          <c:orientation val="minMax"/>
        </c:scaling>
        <c:delete val="0"/>
        <c:axPos val="l"/>
        <c:title>
          <c:tx>
            <c:rich>
              <a:bodyPr rot="-5400000" vert="horz"/>
              <a:lstStyle/>
              <a:p>
                <a:pPr>
                  <a:defRPr/>
                </a:pPr>
                <a:r>
                  <a:rPr lang="es-CO"/>
                  <a:t>TPC</a:t>
                </a:r>
              </a:p>
            </c:rich>
          </c:tx>
          <c:overlay val="0"/>
          <c:spPr>
            <a:noFill/>
            <a:ln>
              <a:noFill/>
            </a:ln>
            <a:effectLst/>
          </c:spPr>
        </c:title>
        <c:numFmt formatCode="_(* #,##0.0_);_(* \(#,##0.0\);_(* &quot;-&quot;??_);_(@_)" sourceLinked="1"/>
        <c:majorTickMark val="none"/>
        <c:minorTickMark val="none"/>
        <c:tickLblPos val="nextTo"/>
        <c:spPr>
          <a:noFill/>
          <a:ln>
            <a:noFill/>
          </a:ln>
          <a:effectLst/>
        </c:spPr>
        <c:txPr>
          <a:bodyPr rot="-60000000" vert="horz"/>
          <a:lstStyle/>
          <a:p>
            <a:pPr>
              <a:defRPr/>
            </a:pPr>
            <a:endParaRPr lang="es-CO"/>
          </a:p>
        </c:txPr>
        <c:crossAx val="-1843834064"/>
        <c:crosses val="autoZero"/>
        <c:crossBetween val="between"/>
      </c:valAx>
      <c:valAx>
        <c:axId val="-1843832432"/>
        <c:scaling>
          <c:orientation val="minMax"/>
          <c:max val="18"/>
          <c:min val="7"/>
        </c:scaling>
        <c:delete val="0"/>
        <c:axPos val="r"/>
        <c:title>
          <c:tx>
            <c:rich>
              <a:bodyPr/>
              <a:lstStyle/>
              <a:p>
                <a:pPr>
                  <a:defRPr/>
                </a:pPr>
                <a:r>
                  <a:rPr lang="es-ES_tradnl"/>
                  <a:t>Años de autosuficiencia</a:t>
                </a:r>
              </a:p>
            </c:rich>
          </c:tx>
          <c:overlay val="0"/>
        </c:title>
        <c:numFmt formatCode="0" sourceLinked="0"/>
        <c:majorTickMark val="out"/>
        <c:minorTickMark val="none"/>
        <c:tickLblPos val="nextTo"/>
        <c:crossAx val="-1843831344"/>
        <c:crosses val="max"/>
        <c:crossBetween val="between"/>
      </c:valAx>
      <c:catAx>
        <c:axId val="-1843831344"/>
        <c:scaling>
          <c:orientation val="minMax"/>
        </c:scaling>
        <c:delete val="1"/>
        <c:axPos val="b"/>
        <c:numFmt formatCode="General" sourceLinked="1"/>
        <c:majorTickMark val="out"/>
        <c:minorTickMark val="none"/>
        <c:tickLblPos val="nextTo"/>
        <c:crossAx val="-1843832432"/>
        <c:crosses val="autoZero"/>
        <c:auto val="1"/>
        <c:lblAlgn val="ctr"/>
        <c:lblOffset val="100"/>
        <c:noMultiLvlLbl val="0"/>
      </c:catAx>
      <c:spPr>
        <a:noFill/>
        <a:ln>
          <a:noFill/>
        </a:ln>
        <a:effectLst/>
      </c:spPr>
    </c:plotArea>
    <c:legend>
      <c:legendPos val="b"/>
      <c:layout>
        <c:manualLayout>
          <c:xMode val="edge"/>
          <c:yMode val="edge"/>
          <c:x val="0.22819323260268143"/>
          <c:y val="0.8972634568219956"/>
          <c:w val="0.54361353479463714"/>
          <c:h val="0.10273654317800439"/>
        </c:manualLayout>
      </c:layout>
      <c:overlay val="0"/>
    </c:legend>
    <c:plotVisOnly val="1"/>
    <c:dispBlanksAs val="gap"/>
    <c:showDLblsOverMax val="0"/>
  </c:chart>
  <c:spPr>
    <a:noFill/>
    <a:ln w="9525" cap="flat" cmpd="sng" algn="ctr">
      <a:noFill/>
      <a:round/>
    </a:ln>
    <a:effectLst/>
  </c:spPr>
  <c:txPr>
    <a:bodyPr/>
    <a:lstStyle/>
    <a:p>
      <a:pPr>
        <a:defRPr sz="800">
          <a:latin typeface="+mj-lt"/>
        </a:defRPr>
      </a:pPr>
      <a:endParaRPr lang="es-CO"/>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drawings/drawing1.xml><?xml version="1.0" encoding="utf-8"?>
<c:userShapes xmlns:c="http://schemas.openxmlformats.org/drawingml/2006/chart">
  <cdr:relSizeAnchor xmlns:cdr="http://schemas.openxmlformats.org/drawingml/2006/chartDrawing">
    <cdr:from>
      <cdr:x>0.94054</cdr:x>
      <cdr:y>0.36474</cdr:y>
    </cdr:from>
    <cdr:to>
      <cdr:x>1</cdr:x>
      <cdr:y>0.43091</cdr:y>
    </cdr:to>
    <cdr:sp macro="" textlink="">
      <cdr:nvSpPr>
        <cdr:cNvPr id="2" name="CuadroTexto 1">
          <a:extLst xmlns:a="http://schemas.openxmlformats.org/drawingml/2006/main">
            <a:ext uri="{FF2B5EF4-FFF2-40B4-BE49-F238E27FC236}">
              <a16:creationId xmlns:a16="http://schemas.microsoft.com/office/drawing/2014/main" id="{8900E063-2F68-384B-B9E1-106BE961455A}"/>
            </a:ext>
          </a:extLst>
        </cdr:cNvPr>
        <cdr:cNvSpPr txBox="1"/>
      </cdr:nvSpPr>
      <cdr:spPr>
        <a:xfrm xmlns:a="http://schemas.openxmlformats.org/drawingml/2006/main">
          <a:off x="13258800" y="3150035"/>
          <a:ext cx="838200" cy="571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_tradnl" sz="2800" dirty="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2347</Words>
  <Characters>12914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JERONIMO BOCANEGRA CASTRO</dc:creator>
  <cp:keywords/>
  <dc:description/>
  <cp:lastModifiedBy>Alejandra Navas</cp:lastModifiedBy>
  <cp:revision>2</cp:revision>
  <dcterms:created xsi:type="dcterms:W3CDTF">2020-06-08T14:20:00Z</dcterms:created>
  <dcterms:modified xsi:type="dcterms:W3CDTF">2020-06-08T14:20:00Z</dcterms:modified>
</cp:coreProperties>
</file>